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944CD" w:rsidRDefault="004944CD">
      <w:pPr>
        <w:spacing w:after="2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0000002" w14:textId="77777777" w:rsidR="004944CD" w:rsidRDefault="00194740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Ré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sumé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Modèles et réalisations en habitat dense-horizontal au Danemark (1947–1988). Standardisation constructive, urbanisme communautaire et acculturations internationales</w:t>
      </w:r>
    </w:p>
    <w:p w14:paraId="00000003" w14:textId="77777777" w:rsidR="004944CD" w:rsidRDefault="004944C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4944CD" w:rsidRDefault="0019474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Cette dissertation explore la généalogie architecturale, urbaine et théorique de l’habitat dense-horizontal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tæt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-lav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boligbebyggelse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un mouvement d’urbanisme communautaire apparu au Danemark dans les années 1960 et conçu comme une alternative à la fois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maison individuelle et à l’habitat collectif de moyenne ou grande hauteur. Cette recherche examine les motivations des principaux acteurs de ce mouvement – essentiellement des architectes – qui visaient à recréer des formes de vie en communauté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fælles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skaber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 réponse aux multiples crises sociales, politiques et architecturales attribuées à la société d’État-providence d’après-guerre.</w:t>
      </w:r>
    </w:p>
    <w:p w14:paraId="00000005" w14:textId="77777777" w:rsidR="004944CD" w:rsidRDefault="0019474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développement retrace l’évolution historique du modèle dense-horizontal, depuis ses origines au milieu du XXe siècl</w:t>
      </w:r>
      <w:r>
        <w:rPr>
          <w:rFonts w:ascii="Times New Roman" w:eastAsia="Times New Roman" w:hAnsi="Times New Roman" w:cs="Times New Roman"/>
          <w:sz w:val="24"/>
          <w:szCs w:val="24"/>
        </w:rPr>
        <w:t>e, en passant par les premiers quartiers de maisons à patio apparus à la fin des années 1940, jusqu’aux recherches ultérieures sur la préfabrication flexible, qui donnèrent lieu à des expérimentations architecturales fondées sur des structures d’habitat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auto-croissance horizontale. La thèse examine également la transformation épistémologique de la notion de communauté, notamment à travers l’influence des recherches sociologiques et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cohabitat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bofællesskab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à la fin des années 1960. Enfin, elle aborde </w:t>
      </w:r>
      <w:r>
        <w:rPr>
          <w:rFonts w:ascii="Times New Roman" w:eastAsia="Times New Roman" w:hAnsi="Times New Roman" w:cs="Times New Roman"/>
          <w:sz w:val="24"/>
          <w:szCs w:val="24"/>
        </w:rPr>
        <w:t>les développements ultérieurs de l’habitat dense-horizontal à partir des années 1970, marqués par la construction en masse et l’essor de formes néo-traditionnelles et pittoresques à grande échelle, ainsi que les critiques qu’elles ont suscitées.</w:t>
      </w:r>
    </w:p>
    <w:p w14:paraId="00000006" w14:textId="77777777" w:rsidR="004944CD" w:rsidRDefault="0019474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Cette diss</w:t>
      </w:r>
      <w:r>
        <w:rPr>
          <w:rFonts w:ascii="Times New Roman" w:eastAsia="Times New Roman" w:hAnsi="Times New Roman" w:cs="Times New Roman"/>
          <w:sz w:val="24"/>
          <w:szCs w:val="24"/>
        </w:rPr>
        <w:t>ertation reconsidère la portée historique du concours d’idées « Dense-horizontal – une forme d’habitat », organisé en 1971–1972 par l’Institut danois de recherche sur le bâtiment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Statens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Byggeforskningsinstitut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SBI), en le contextualisant dans une trajec</w:t>
      </w:r>
      <w:r>
        <w:rPr>
          <w:rFonts w:ascii="Times New Roman" w:eastAsia="Times New Roman" w:hAnsi="Times New Roman" w:cs="Times New Roman"/>
          <w:sz w:val="24"/>
          <w:szCs w:val="24"/>
        </w:rPr>
        <w:t>toire plus large de recherches sur des modèles alternatifs d’habitat. Plutôt que de considérer ce concours comme un point de départ, cette dissertation soutient qu’aucune définition univoque de l’habitat dense-horizontal ne peut être établie. Elle met plut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ôt en lumière le caractère adaptatif de ce modèle face aux défis posés par chaque phase de son développement historique,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façonné par les apports multiples de références nationales et internationales – allant de la cité-jardin, de la tradition fonctionnelle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de l’unité de voisinage, jusqu’aux derniers congrès du CIAM, de Team 10 et au-delà. Au cœur de cette trajectoire se dessine une polarisation croissante entre deux typologies d’habitat aux fonctions divergentes : la maison à cour et la maison en bande a</w:t>
      </w:r>
      <w:r>
        <w:rPr>
          <w:rFonts w:ascii="Times New Roman" w:eastAsia="Times New Roman" w:hAnsi="Times New Roman" w:cs="Times New Roman"/>
          <w:sz w:val="24"/>
          <w:szCs w:val="24"/>
        </w:rPr>
        <w:t>vec jardin à l’avant et à l’arrière.</w:t>
      </w:r>
    </w:p>
    <w:p w14:paraId="00000007" w14:textId="77777777" w:rsidR="004944CD" w:rsidRDefault="0019474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Cette thèse inscrit l’habitat dense-horizontal dans l’histoire de l’urbanisme communautaire danois du XXe siècle, et met en lumière l’étude spécifique, encore insuffisamment documentée, menée par les architectes danois </w:t>
      </w:r>
      <w:r>
        <w:rPr>
          <w:rFonts w:ascii="Times New Roman" w:eastAsia="Times New Roman" w:hAnsi="Times New Roman" w:cs="Times New Roman"/>
          <w:sz w:val="24"/>
          <w:szCs w:val="24"/>
        </w:rPr>
        <w:t>sur les formes vernaculaires d’habitat et d’urbanisme, envisagées comme modèles pour la construction de quartiers denses-horizontaux. Elle examine en particulier les transferts architecturaux complexes et bidirectionnels avec les pays méditerranéens, nord-</w:t>
      </w:r>
      <w:r>
        <w:rPr>
          <w:rFonts w:ascii="Times New Roman" w:eastAsia="Times New Roman" w:hAnsi="Times New Roman" w:cs="Times New Roman"/>
          <w:sz w:val="24"/>
          <w:szCs w:val="24"/>
        </w:rPr>
        <w:t>africains et musulmans – en se concentrant sur l’importation au Danemark de maisons tournées vers l’intérieur, favorisant l’intimité, et sur leur relation problématique avec l’idéal de socialisation communautaire porté par les acteurs de l’habitat dense-ho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rizontal. Cette recherche retrace également les programmes ultérieurs menés par des architectes danois au Moyen-Orient et en l’Afrique du Nord (MENA), dans le contexte des débuts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développementalisme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danois à partir des années 1960. La conclusion propose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une série d'hypothèses sur la portée théorique du concept de communauté tel que le formulent ou le présupposent les tenants de l’habitat dense-horizontal : la transformation de la condition humaine par l’habitat.</w:t>
      </w:r>
    </w:p>
    <w:p w14:paraId="00000008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9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A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C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D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E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F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0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1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2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3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4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5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6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7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8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9" w14:textId="77777777" w:rsidR="004944CD" w:rsidRDefault="004944C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A" w14:textId="77777777" w:rsidR="004944CD" w:rsidRDefault="0019474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Abstract - </w:t>
      </w:r>
    </w:p>
    <w:p w14:paraId="0000001B" w14:textId="77777777" w:rsidR="004944CD" w:rsidRDefault="004944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944CD" w:rsidRDefault="004944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944CD" w:rsidRDefault="0019474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dissertation explores the architectural,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genealogy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tæt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-lav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boligbebyggelse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neighborhood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design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1960s as an alternative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single-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multi-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high- or medium-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dwellings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motivations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modes of living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fællesskaber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multiple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architectural crises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society.</w:t>
      </w:r>
    </w:p>
    <w:p w14:paraId="0000001E" w14:textId="77777777" w:rsidR="004944CD" w:rsidRDefault="0019474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traces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mid-century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 the first patio-house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neighborhoods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950s,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flexible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prefabrication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architectural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horizontally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self-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structures.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examines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epistemological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transformation of the concept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influence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bofællesskab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1960s.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dissertation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1970s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mass-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neo-tradit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critiques.</w:t>
      </w:r>
    </w:p>
    <w:p w14:paraId="0000001F" w14:textId="77777777" w:rsidR="004944CD" w:rsidRDefault="0019474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dissertation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reconsiders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1971–1972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Building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Institute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Statens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Byggeforsk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ningsinstitut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SBI),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recontextualizing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trajectory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alternative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SBI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point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argues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adaptive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concept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challenges of successive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multifaceted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contributions of national and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city,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tradition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neighborhood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unit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congresses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Team 10,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Central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trajectory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polarization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typologies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divergent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courtyard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front-and-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house.</w:t>
      </w:r>
    </w:p>
    <w:p w14:paraId="00000020" w14:textId="77777777" w:rsidR="004944CD" w:rsidRDefault="00194740">
      <w:pPr>
        <w:spacing w:before="240" w:after="24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dissertation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20th-century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planning and sheds light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insufficiently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rnacular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dwellings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neighborhoods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two-way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architectural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Mediterranean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countries—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importation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inward-looking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balance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traces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Middle East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(MENA)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developmenta</w:t>
      </w:r>
      <w:r>
        <w:rPr>
          <w:rFonts w:ascii="Times New Roman" w:eastAsia="Times New Roman" w:hAnsi="Times New Roman" w:cs="Times New Roman"/>
          <w:sz w:val="24"/>
          <w:szCs w:val="24"/>
        </w:rPr>
        <w:t>lism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1960s.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Ultimately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dissertation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explanation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proponents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dense-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condition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habitat.</w:t>
      </w:r>
    </w:p>
    <w:sectPr w:rsidR="004944C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DDFA" w14:textId="77777777" w:rsidR="00194740" w:rsidRDefault="00194740">
      <w:pPr>
        <w:spacing w:line="240" w:lineRule="auto"/>
      </w:pPr>
      <w:r>
        <w:separator/>
      </w:r>
    </w:p>
  </w:endnote>
  <w:endnote w:type="continuationSeparator" w:id="0">
    <w:p w14:paraId="48D09D4E" w14:textId="77777777" w:rsidR="00194740" w:rsidRDefault="00194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239E" w14:textId="77777777" w:rsidR="00194740" w:rsidRDefault="00194740">
      <w:pPr>
        <w:spacing w:line="240" w:lineRule="auto"/>
      </w:pPr>
      <w:r>
        <w:separator/>
      </w:r>
    </w:p>
  </w:footnote>
  <w:footnote w:type="continuationSeparator" w:id="0">
    <w:p w14:paraId="0DBD386B" w14:textId="77777777" w:rsidR="00194740" w:rsidRDefault="00194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4944CD" w:rsidRDefault="0019474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Dorian Bianco</w:t>
    </w:r>
  </w:p>
  <w:p w14:paraId="00000022" w14:textId="77777777" w:rsidR="004944CD" w:rsidRDefault="0019474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Doctorant en Histoire de l’art</w:t>
    </w:r>
  </w:p>
  <w:p w14:paraId="00000023" w14:textId="77777777" w:rsidR="004944CD" w:rsidRDefault="0019474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Sorbonne Université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CD"/>
    <w:rsid w:val="00194740"/>
    <w:rsid w:val="004944CD"/>
    <w:rsid w:val="00A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5644-C174-430A-B195-5F1C692F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Grégoire ASLANOFF</dc:creator>
  <cp:lastModifiedBy>gregoire aslnoff</cp:lastModifiedBy>
  <cp:revision>2</cp:revision>
  <dcterms:created xsi:type="dcterms:W3CDTF">2025-05-15T15:45:00Z</dcterms:created>
  <dcterms:modified xsi:type="dcterms:W3CDTF">2025-05-15T15:45:00Z</dcterms:modified>
</cp:coreProperties>
</file>