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CD" w:rsidRPr="000876CD" w:rsidRDefault="000876CD" w:rsidP="000876CD">
      <w:pPr>
        <w:spacing w:after="120"/>
        <w:jc w:val="left"/>
        <w:textAlignment w:val="baseline"/>
        <w:outlineLvl w:val="2"/>
        <w:rPr>
          <w:rFonts w:eastAsia="Times New Roman" w:cs="Helvetica"/>
          <w:b/>
          <w:bCs/>
          <w:iCs/>
          <w:color w:val="4C76A2"/>
          <w:sz w:val="32"/>
          <w:szCs w:val="32"/>
          <w:lang w:eastAsia="fr-FR"/>
        </w:rPr>
      </w:pPr>
      <w:r w:rsidRPr="000876CD">
        <w:rPr>
          <w:rFonts w:eastAsia="Times New Roman" w:cs="Helvetica"/>
          <w:b/>
          <w:bCs/>
          <w:iCs/>
          <w:color w:val="4C76A2"/>
          <w:sz w:val="32"/>
          <w:szCs w:val="32"/>
          <w:lang w:eastAsia="fr-FR"/>
        </w:rPr>
        <w:t>Axelle FARIAT</w:t>
      </w:r>
    </w:p>
    <w:p w:rsidR="000876CD" w:rsidRDefault="000876CD" w:rsidP="000876CD">
      <w:pPr>
        <w:spacing w:after="120"/>
        <w:jc w:val="left"/>
        <w:textAlignment w:val="baseline"/>
        <w:outlineLvl w:val="2"/>
        <w:rPr>
          <w:rFonts w:ascii="Helvetica" w:eastAsia="Times New Roman" w:hAnsi="Helvetica" w:cs="Helvetica"/>
          <w:b/>
          <w:bCs/>
          <w:i/>
          <w:iCs/>
          <w:color w:val="4C76A2"/>
          <w:sz w:val="24"/>
          <w:szCs w:val="24"/>
          <w:lang w:eastAsia="fr-FR"/>
        </w:rPr>
      </w:pPr>
    </w:p>
    <w:p w:rsidR="000876CD" w:rsidRPr="000876CD" w:rsidRDefault="000876CD" w:rsidP="000876CD">
      <w:pPr>
        <w:spacing w:after="120"/>
        <w:jc w:val="left"/>
        <w:textAlignment w:val="baseline"/>
        <w:outlineLvl w:val="2"/>
        <w:rPr>
          <w:rFonts w:eastAsia="Times New Roman" w:cs="Helvetica"/>
          <w:b/>
          <w:bCs/>
          <w:sz w:val="24"/>
          <w:szCs w:val="24"/>
          <w:lang w:eastAsia="fr-FR"/>
        </w:rPr>
      </w:pPr>
      <w:r w:rsidRPr="000876CD">
        <w:rPr>
          <w:rFonts w:eastAsia="Times New Roman" w:cs="Helvetica"/>
          <w:b/>
          <w:bCs/>
          <w:i/>
          <w:iCs/>
          <w:color w:val="4C76A2"/>
          <w:sz w:val="24"/>
          <w:szCs w:val="24"/>
          <w:lang w:eastAsia="fr-FR"/>
        </w:rPr>
        <w:t>Formation</w:t>
      </w:r>
    </w:p>
    <w:p w:rsidR="000876CD" w:rsidRPr="000876CD" w:rsidRDefault="000876CD" w:rsidP="000876CD">
      <w:pPr>
        <w:jc w:val="left"/>
        <w:rPr>
          <w:rFonts w:eastAsia="Times New Roman" w:cs="Helvetica"/>
          <w:sz w:val="24"/>
          <w:szCs w:val="24"/>
          <w:lang w:eastAsia="fr-FR"/>
        </w:rPr>
      </w:pPr>
      <w:r w:rsidRPr="000876CD">
        <w:rPr>
          <w:rFonts w:eastAsia="Times New Roman" w:cs="Helvetica"/>
          <w:color w:val="4C76A2"/>
          <w:sz w:val="24"/>
          <w:szCs w:val="24"/>
          <w:lang w:eastAsia="fr-FR"/>
        </w:rPr>
        <w:t>Doctorat d’histoire de l’art sur  </w:t>
      </w:r>
      <w:hyperlink r:id="rId6" w:tgtFrame="_blank" w:history="1">
        <w:r w:rsidRPr="000876CD">
          <w:rPr>
            <w:rFonts w:eastAsia="Times New Roman" w:cs="Helvetica"/>
            <w:i/>
            <w:iCs/>
            <w:color w:val="0000FF"/>
            <w:sz w:val="24"/>
            <w:szCs w:val="24"/>
            <w:u w:val="single"/>
            <w:lang w:eastAsia="fr-FR"/>
          </w:rPr>
          <w:t>Le renouveau de l'enseignement artistique en Allemagne après la Seconde Guerre mondiale</w:t>
        </w:r>
      </w:hyperlink>
      <w:r w:rsidRPr="000876CD">
        <w:rPr>
          <w:rFonts w:eastAsia="Times New Roman" w:cs="Open Sans"/>
          <w:color w:val="4C76A2"/>
          <w:sz w:val="24"/>
          <w:szCs w:val="24"/>
          <w:lang w:eastAsia="fr-FR"/>
        </w:rPr>
        <w:t xml:space="preserve">. Cotutelle franco-allemande Université Paris-IV Sorbonne, </w:t>
      </w:r>
      <w:proofErr w:type="spellStart"/>
      <w:r w:rsidRPr="000876CD">
        <w:rPr>
          <w:rFonts w:eastAsia="Times New Roman" w:cs="Open Sans"/>
          <w:color w:val="4C76A2"/>
          <w:sz w:val="24"/>
          <w:szCs w:val="24"/>
          <w:lang w:eastAsia="fr-FR"/>
        </w:rPr>
        <w:t>dir</w:t>
      </w:r>
      <w:proofErr w:type="spellEnd"/>
      <w:r w:rsidRPr="000876CD">
        <w:rPr>
          <w:rFonts w:eastAsia="Times New Roman" w:cs="Open Sans"/>
          <w:color w:val="4C76A2"/>
          <w:sz w:val="24"/>
          <w:szCs w:val="24"/>
          <w:lang w:eastAsia="fr-FR"/>
        </w:rPr>
        <w:t>. M. Serge Lemoine, Humboldt-</w:t>
      </w:r>
      <w:proofErr w:type="spellStart"/>
      <w:r w:rsidRPr="000876CD">
        <w:rPr>
          <w:rFonts w:eastAsia="Times New Roman" w:cs="Open Sans"/>
          <w:color w:val="4C76A2"/>
          <w:sz w:val="24"/>
          <w:szCs w:val="24"/>
          <w:lang w:eastAsia="fr-FR"/>
        </w:rPr>
        <w:t>Universität</w:t>
      </w:r>
      <w:proofErr w:type="spellEnd"/>
      <w:r w:rsidRPr="000876CD">
        <w:rPr>
          <w:rFonts w:eastAsia="Times New Roman" w:cs="Open Sans"/>
          <w:color w:val="4C76A2"/>
          <w:sz w:val="24"/>
          <w:szCs w:val="24"/>
          <w:lang w:eastAsia="fr-FR"/>
        </w:rPr>
        <w:t xml:space="preserve"> </w:t>
      </w:r>
      <w:proofErr w:type="spellStart"/>
      <w:r w:rsidRPr="000876CD">
        <w:rPr>
          <w:rFonts w:eastAsia="Times New Roman" w:cs="Open Sans"/>
          <w:color w:val="4C76A2"/>
          <w:sz w:val="24"/>
          <w:szCs w:val="24"/>
          <w:lang w:eastAsia="fr-FR"/>
        </w:rPr>
        <w:t>zu</w:t>
      </w:r>
      <w:proofErr w:type="spellEnd"/>
      <w:r w:rsidRPr="000876CD">
        <w:rPr>
          <w:rFonts w:eastAsia="Times New Roman" w:cs="Open Sans"/>
          <w:color w:val="4C76A2"/>
          <w:sz w:val="24"/>
          <w:szCs w:val="24"/>
          <w:lang w:eastAsia="fr-FR"/>
        </w:rPr>
        <w:t xml:space="preserve"> Berlin, </w:t>
      </w:r>
      <w:proofErr w:type="spellStart"/>
      <w:r w:rsidRPr="000876CD">
        <w:rPr>
          <w:rFonts w:eastAsia="Times New Roman" w:cs="Open Sans"/>
          <w:color w:val="4C76A2"/>
          <w:sz w:val="24"/>
          <w:szCs w:val="24"/>
          <w:lang w:eastAsia="fr-FR"/>
        </w:rPr>
        <w:t>co-dir</w:t>
      </w:r>
      <w:proofErr w:type="spellEnd"/>
      <w:r w:rsidRPr="000876CD">
        <w:rPr>
          <w:rFonts w:eastAsia="Times New Roman" w:cs="Open Sans"/>
          <w:color w:val="4C76A2"/>
          <w:sz w:val="24"/>
          <w:szCs w:val="24"/>
          <w:lang w:eastAsia="fr-FR"/>
        </w:rPr>
        <w:t xml:space="preserve">. M. Michael </w:t>
      </w:r>
      <w:proofErr w:type="spellStart"/>
      <w:r w:rsidRPr="000876CD">
        <w:rPr>
          <w:rFonts w:eastAsia="Times New Roman" w:cs="Open Sans"/>
          <w:color w:val="4C76A2"/>
          <w:sz w:val="24"/>
          <w:szCs w:val="24"/>
          <w:lang w:eastAsia="fr-FR"/>
        </w:rPr>
        <w:t>Diers</w:t>
      </w:r>
      <w:proofErr w:type="spellEnd"/>
      <w:r w:rsidRPr="000876CD">
        <w:rPr>
          <w:rFonts w:eastAsia="Times New Roman" w:cs="Open Sans"/>
          <w:color w:val="4C76A2"/>
          <w:sz w:val="24"/>
          <w:szCs w:val="24"/>
          <w:lang w:eastAsia="fr-FR"/>
        </w:rPr>
        <w:t>. Soutenue en 2013 au Centre André Chastel. </w:t>
      </w:r>
    </w:p>
    <w:p w:rsidR="000876CD" w:rsidRPr="000876CD" w:rsidRDefault="000876CD" w:rsidP="000876CD">
      <w:pPr>
        <w:jc w:val="left"/>
        <w:rPr>
          <w:rFonts w:eastAsia="Times New Roman" w:cs="Helvetica"/>
          <w:sz w:val="24"/>
          <w:szCs w:val="24"/>
          <w:lang w:eastAsia="fr-FR"/>
        </w:rPr>
      </w:pPr>
      <w:r w:rsidRPr="000876CD">
        <w:rPr>
          <w:rFonts w:eastAsia="Times New Roman" w:cs="Helvetica"/>
          <w:color w:val="4C76A2"/>
          <w:sz w:val="24"/>
          <w:szCs w:val="24"/>
          <w:lang w:eastAsia="fr-FR"/>
        </w:rPr>
        <w:t xml:space="preserve">Jury : Serge Lemoine, (Paris-IV Sorbonne) ; Michael </w:t>
      </w:r>
      <w:proofErr w:type="spellStart"/>
      <w:r w:rsidRPr="000876CD">
        <w:rPr>
          <w:rFonts w:eastAsia="Times New Roman" w:cs="Helvetica"/>
          <w:color w:val="4C76A2"/>
          <w:sz w:val="24"/>
          <w:szCs w:val="24"/>
          <w:lang w:eastAsia="fr-FR"/>
        </w:rPr>
        <w:t>Diers</w:t>
      </w:r>
      <w:proofErr w:type="spellEnd"/>
      <w:r w:rsidRPr="000876CD">
        <w:rPr>
          <w:rFonts w:eastAsia="Times New Roman" w:cs="Helvetica"/>
          <w:color w:val="4C76A2"/>
          <w:sz w:val="24"/>
          <w:szCs w:val="24"/>
          <w:lang w:eastAsia="fr-FR"/>
        </w:rPr>
        <w:t xml:space="preserve"> (</w:t>
      </w:r>
      <w:r w:rsidRPr="000876CD">
        <w:rPr>
          <w:rFonts w:eastAsia="Times New Roman" w:cs="Open Sans"/>
          <w:color w:val="4C76A2"/>
          <w:sz w:val="24"/>
          <w:szCs w:val="24"/>
          <w:lang w:eastAsia="fr-FR"/>
        </w:rPr>
        <w:t>Humboldt-</w:t>
      </w:r>
      <w:proofErr w:type="spellStart"/>
      <w:r w:rsidRPr="000876CD">
        <w:rPr>
          <w:rFonts w:eastAsia="Times New Roman" w:cs="Open Sans"/>
          <w:color w:val="4C76A2"/>
          <w:sz w:val="24"/>
          <w:szCs w:val="24"/>
          <w:lang w:eastAsia="fr-FR"/>
        </w:rPr>
        <w:t>Universität</w:t>
      </w:r>
      <w:proofErr w:type="spellEnd"/>
      <w:r w:rsidRPr="000876CD">
        <w:rPr>
          <w:rFonts w:eastAsia="Times New Roman" w:cs="Open Sans"/>
          <w:color w:val="4C76A2"/>
          <w:sz w:val="24"/>
          <w:szCs w:val="24"/>
          <w:lang w:eastAsia="fr-FR"/>
        </w:rPr>
        <w:t xml:space="preserve"> </w:t>
      </w:r>
      <w:proofErr w:type="spellStart"/>
      <w:r w:rsidRPr="000876CD">
        <w:rPr>
          <w:rFonts w:eastAsia="Times New Roman" w:cs="Open Sans"/>
          <w:color w:val="4C76A2"/>
          <w:sz w:val="24"/>
          <w:szCs w:val="24"/>
          <w:lang w:eastAsia="fr-FR"/>
        </w:rPr>
        <w:t>zu</w:t>
      </w:r>
      <w:proofErr w:type="spellEnd"/>
      <w:r w:rsidRPr="000876CD">
        <w:rPr>
          <w:rFonts w:eastAsia="Times New Roman" w:cs="Open Sans"/>
          <w:color w:val="4C76A2"/>
          <w:sz w:val="24"/>
          <w:szCs w:val="24"/>
          <w:lang w:eastAsia="fr-FR"/>
        </w:rPr>
        <w:t xml:space="preserve"> Berlin); Andreas </w:t>
      </w:r>
      <w:proofErr w:type="spellStart"/>
      <w:r w:rsidRPr="000876CD">
        <w:rPr>
          <w:rFonts w:eastAsia="Times New Roman" w:cs="Open Sans"/>
          <w:color w:val="4C76A2"/>
          <w:sz w:val="24"/>
          <w:szCs w:val="24"/>
          <w:lang w:eastAsia="fr-FR"/>
        </w:rPr>
        <w:t>Beyer</w:t>
      </w:r>
      <w:proofErr w:type="spellEnd"/>
      <w:r w:rsidRPr="000876CD">
        <w:rPr>
          <w:rFonts w:eastAsia="Times New Roman" w:cs="Open Sans"/>
          <w:color w:val="4C76A2"/>
          <w:sz w:val="24"/>
          <w:szCs w:val="24"/>
          <w:lang w:eastAsia="fr-FR"/>
        </w:rPr>
        <w:t xml:space="preserve"> (Bâle/Centre allemand d'histoire de l'art, Paris); Patrice Neau (Nantes/Sarrebruck), Konrad </w:t>
      </w:r>
      <w:proofErr w:type="spellStart"/>
      <w:r w:rsidRPr="000876CD">
        <w:rPr>
          <w:rFonts w:eastAsia="Times New Roman" w:cs="Open Sans"/>
          <w:color w:val="4C76A2"/>
          <w:sz w:val="24"/>
          <w:szCs w:val="24"/>
          <w:lang w:eastAsia="fr-FR"/>
        </w:rPr>
        <w:t>Klapheck</w:t>
      </w:r>
      <w:proofErr w:type="spellEnd"/>
      <w:r w:rsidRPr="000876CD">
        <w:rPr>
          <w:rFonts w:eastAsia="Times New Roman" w:cs="Open Sans"/>
          <w:color w:val="4C76A2"/>
          <w:sz w:val="24"/>
          <w:szCs w:val="24"/>
          <w:lang w:eastAsia="fr-FR"/>
        </w:rPr>
        <w:t xml:space="preserve"> (Düsseldorf).</w:t>
      </w:r>
    </w:p>
    <w:p w:rsidR="000876CD" w:rsidRPr="000876CD" w:rsidRDefault="000876CD" w:rsidP="000876CD">
      <w:pPr>
        <w:jc w:val="left"/>
        <w:rPr>
          <w:rFonts w:eastAsia="Times New Roman" w:cs="Helvetica"/>
          <w:sz w:val="24"/>
          <w:szCs w:val="24"/>
          <w:lang w:eastAsia="fr-FR"/>
        </w:rPr>
      </w:pPr>
    </w:p>
    <w:p w:rsidR="000876CD" w:rsidRDefault="000876CD" w:rsidP="000876CD">
      <w:pPr>
        <w:jc w:val="left"/>
        <w:rPr>
          <w:rFonts w:eastAsia="Times New Roman" w:cs="Helvetica"/>
          <w:color w:val="4C76A2"/>
          <w:sz w:val="24"/>
          <w:szCs w:val="24"/>
          <w:lang w:eastAsia="fr-FR"/>
        </w:rPr>
      </w:pPr>
      <w:r w:rsidRPr="000876CD">
        <w:rPr>
          <w:rFonts w:eastAsia="Times New Roman" w:cs="Open Sans"/>
          <w:color w:val="4C76A2"/>
          <w:sz w:val="24"/>
          <w:szCs w:val="24"/>
          <w:lang w:eastAsia="fr-FR"/>
        </w:rPr>
        <w:t>Une version remaniée de la thèse a été publiée aux éditions Peter Lang</w:t>
      </w:r>
      <w:r w:rsidR="009919A9">
        <w:rPr>
          <w:rFonts w:eastAsia="Times New Roman" w:cs="Open Sans"/>
          <w:color w:val="4C76A2"/>
          <w:sz w:val="24"/>
          <w:szCs w:val="24"/>
          <w:lang w:eastAsia="fr-FR"/>
        </w:rPr>
        <w:t xml:space="preserve"> sous le titre </w:t>
      </w:r>
      <w:hyperlink r:id="rId7" w:tgtFrame="_blank" w:history="1">
        <w:r w:rsidRPr="000876CD">
          <w:rPr>
            <w:rFonts w:eastAsia="Times New Roman" w:cs="Helvetica"/>
            <w:color w:val="0000FF"/>
            <w:sz w:val="24"/>
            <w:szCs w:val="24"/>
            <w:u w:val="single"/>
            <w:lang w:eastAsia="fr-FR"/>
          </w:rPr>
          <w:t>La vie artistique en Allemagne après 1945</w:t>
        </w:r>
      </w:hyperlink>
    </w:p>
    <w:p w:rsidR="009919A9" w:rsidRDefault="009919A9" w:rsidP="000876CD">
      <w:pPr>
        <w:jc w:val="left"/>
        <w:rPr>
          <w:rFonts w:eastAsia="Times New Roman" w:cs="Helvetica"/>
          <w:color w:val="4C76A2"/>
          <w:sz w:val="24"/>
          <w:szCs w:val="24"/>
          <w:lang w:eastAsia="fr-FR"/>
        </w:rPr>
      </w:pPr>
    </w:p>
    <w:p w:rsidR="009919A9" w:rsidRPr="000876CD" w:rsidRDefault="009919A9" w:rsidP="009919A9">
      <w:pPr>
        <w:jc w:val="center"/>
        <w:rPr>
          <w:rFonts w:eastAsia="Times New Roman" w:cs="Helvetica"/>
          <w:sz w:val="24"/>
          <w:szCs w:val="24"/>
          <w:lang w:eastAsia="fr-FR"/>
        </w:rPr>
      </w:pPr>
      <w:r>
        <w:rPr>
          <w:rFonts w:eastAsia="Times New Roman" w:cs="Helvetica"/>
          <w:noProof/>
          <w:sz w:val="24"/>
          <w:szCs w:val="24"/>
          <w:lang w:eastAsia="fr-FR"/>
        </w:rPr>
        <w:drawing>
          <wp:inline distT="0" distB="0" distL="0" distR="0">
            <wp:extent cx="1429200" cy="20304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_artistique_Allemagne.jpg"/>
                    <pic:cNvPicPr/>
                  </pic:nvPicPr>
                  <pic:blipFill>
                    <a:blip r:embed="rId8">
                      <a:extLst>
                        <a:ext uri="{28A0092B-C50C-407E-A947-70E740481C1C}">
                          <a14:useLocalDpi xmlns:a14="http://schemas.microsoft.com/office/drawing/2010/main" val="0"/>
                        </a:ext>
                      </a:extLst>
                    </a:blip>
                    <a:stretch>
                      <a:fillRect/>
                    </a:stretch>
                  </pic:blipFill>
                  <pic:spPr>
                    <a:xfrm>
                      <a:off x="0" y="0"/>
                      <a:ext cx="1429200" cy="2030400"/>
                    </a:xfrm>
                    <a:prstGeom prst="rect">
                      <a:avLst/>
                    </a:prstGeom>
                  </pic:spPr>
                </pic:pic>
              </a:graphicData>
            </a:graphic>
          </wp:inline>
        </w:drawing>
      </w:r>
    </w:p>
    <w:p w:rsidR="000876CD" w:rsidRPr="000876CD" w:rsidRDefault="000876CD" w:rsidP="000876CD">
      <w:pPr>
        <w:jc w:val="left"/>
        <w:rPr>
          <w:rFonts w:eastAsia="Times New Roman" w:cs="Helvetica"/>
          <w:sz w:val="24"/>
          <w:szCs w:val="24"/>
          <w:lang w:eastAsia="fr-FR"/>
        </w:rPr>
      </w:pPr>
    </w:p>
    <w:p w:rsidR="000876CD" w:rsidRPr="000876CD" w:rsidRDefault="000876CD" w:rsidP="000876CD">
      <w:pPr>
        <w:spacing w:before="100" w:beforeAutospacing="1" w:after="100" w:afterAutospacing="1"/>
        <w:jc w:val="left"/>
        <w:outlineLvl w:val="2"/>
        <w:rPr>
          <w:rFonts w:eastAsia="Times New Roman" w:cs="Helvetica"/>
          <w:b/>
          <w:bCs/>
          <w:sz w:val="24"/>
          <w:szCs w:val="24"/>
          <w:lang w:eastAsia="fr-FR"/>
        </w:rPr>
      </w:pPr>
      <w:r w:rsidRPr="000876CD">
        <w:rPr>
          <w:rFonts w:eastAsia="Times New Roman" w:cs="Helvetica"/>
          <w:b/>
          <w:bCs/>
          <w:i/>
          <w:iCs/>
          <w:color w:val="4C76A2"/>
          <w:sz w:val="24"/>
          <w:szCs w:val="24"/>
          <w:lang w:eastAsia="fr-FR"/>
        </w:rPr>
        <w:t>Parcours professionnel</w:t>
      </w:r>
    </w:p>
    <w:p w:rsidR="000876CD" w:rsidRPr="000876CD" w:rsidRDefault="000876CD" w:rsidP="000876CD">
      <w:pPr>
        <w:numPr>
          <w:ilvl w:val="0"/>
          <w:numId w:val="1"/>
        </w:numPr>
        <w:ind w:left="0"/>
        <w:jc w:val="left"/>
        <w:textAlignment w:val="baseline"/>
        <w:rPr>
          <w:rFonts w:eastAsia="Times New Roman" w:cs="Helvetica"/>
          <w:sz w:val="24"/>
          <w:szCs w:val="24"/>
          <w:lang w:eastAsia="fr-FR"/>
        </w:rPr>
      </w:pPr>
      <w:r w:rsidRPr="000876CD">
        <w:rPr>
          <w:rFonts w:eastAsia="Times New Roman" w:cs="Helvetica"/>
          <w:i/>
          <w:iCs/>
          <w:color w:val="4C76A2"/>
          <w:sz w:val="24"/>
          <w:szCs w:val="24"/>
          <w:lang w:eastAsia="fr-FR"/>
        </w:rPr>
        <w:t>2016-2018 </w:t>
      </w:r>
      <w:r w:rsidRPr="000876CD">
        <w:rPr>
          <w:rFonts w:eastAsia="Times New Roman" w:cs="Open Sans"/>
          <w:i/>
          <w:iCs/>
          <w:color w:val="4C76A2"/>
          <w:sz w:val="24"/>
          <w:szCs w:val="24"/>
          <w:lang w:eastAsia="fr-FR"/>
        </w:rPr>
        <w:t>post-doctorat, galerie </w:t>
      </w:r>
      <w:proofErr w:type="spellStart"/>
      <w:r w:rsidRPr="000876CD">
        <w:rPr>
          <w:rFonts w:eastAsia="Times New Roman" w:cs="Open Sans"/>
          <w:i/>
          <w:iCs/>
          <w:color w:val="4C76A2"/>
          <w:sz w:val="24"/>
          <w:szCs w:val="24"/>
          <w:lang w:eastAsia="fr-FR"/>
        </w:rPr>
        <w:t>a</w:t>
      </w:r>
      <w:bookmarkStart w:id="0" w:name="_GoBack"/>
      <w:bookmarkEnd w:id="0"/>
      <w:r w:rsidRPr="000876CD">
        <w:rPr>
          <w:rFonts w:eastAsia="Times New Roman" w:cs="Open Sans"/>
          <w:i/>
          <w:iCs/>
          <w:color w:val="4C76A2"/>
          <w:sz w:val="24"/>
          <w:szCs w:val="24"/>
          <w:lang w:eastAsia="fr-FR"/>
        </w:rPr>
        <w:t>ussenalster</w:t>
      </w:r>
      <w:proofErr w:type="spellEnd"/>
      <w:r w:rsidRPr="000876CD">
        <w:rPr>
          <w:rFonts w:eastAsia="Times New Roman" w:cs="Open Sans"/>
          <w:i/>
          <w:iCs/>
          <w:color w:val="4C76A2"/>
          <w:sz w:val="24"/>
          <w:szCs w:val="24"/>
          <w:lang w:eastAsia="fr-FR"/>
        </w:rPr>
        <w:t>, Hambourg</w:t>
      </w:r>
    </w:p>
    <w:p w:rsidR="000876CD" w:rsidRPr="000876CD" w:rsidRDefault="000876CD" w:rsidP="000876CD">
      <w:pPr>
        <w:numPr>
          <w:ilvl w:val="0"/>
          <w:numId w:val="1"/>
        </w:numPr>
        <w:ind w:left="0"/>
        <w:jc w:val="left"/>
        <w:textAlignment w:val="baseline"/>
        <w:rPr>
          <w:rFonts w:eastAsia="Times New Roman" w:cs="Helvetica"/>
          <w:sz w:val="24"/>
          <w:szCs w:val="24"/>
          <w:lang w:eastAsia="fr-FR"/>
        </w:rPr>
      </w:pPr>
      <w:r w:rsidRPr="000876CD">
        <w:rPr>
          <w:rFonts w:eastAsia="Times New Roman" w:cs="Helvetica"/>
          <w:i/>
          <w:iCs/>
          <w:color w:val="4C76A2"/>
          <w:sz w:val="24"/>
          <w:szCs w:val="24"/>
          <w:lang w:eastAsia="fr-FR"/>
        </w:rPr>
        <w:t>2013-2015 : A.T.E.R. à l’université de Strasbourg</w:t>
      </w:r>
    </w:p>
    <w:p w:rsidR="000876CD" w:rsidRPr="000876CD" w:rsidRDefault="000876CD" w:rsidP="000876CD">
      <w:pPr>
        <w:jc w:val="left"/>
        <w:textAlignment w:val="baseline"/>
        <w:rPr>
          <w:rFonts w:eastAsia="Times New Roman" w:cs="Helvetica"/>
          <w:sz w:val="24"/>
          <w:szCs w:val="24"/>
          <w:lang w:eastAsia="fr-FR"/>
        </w:rPr>
      </w:pPr>
    </w:p>
    <w:p w:rsidR="000876CD" w:rsidRPr="000876CD" w:rsidRDefault="000876CD" w:rsidP="000876CD">
      <w:pPr>
        <w:spacing w:before="100" w:beforeAutospacing="1" w:after="100" w:afterAutospacing="1"/>
        <w:jc w:val="left"/>
        <w:outlineLvl w:val="2"/>
        <w:rPr>
          <w:rFonts w:eastAsia="Times New Roman" w:cs="Helvetica"/>
          <w:b/>
          <w:bCs/>
          <w:sz w:val="24"/>
          <w:szCs w:val="24"/>
          <w:lang w:eastAsia="fr-FR"/>
        </w:rPr>
      </w:pPr>
      <w:r w:rsidRPr="000876CD">
        <w:rPr>
          <w:rFonts w:eastAsia="Times New Roman" w:cs="Helvetica"/>
          <w:b/>
          <w:bCs/>
          <w:i/>
          <w:iCs/>
          <w:color w:val="4C76A2"/>
          <w:sz w:val="24"/>
          <w:szCs w:val="24"/>
          <w:lang w:eastAsia="fr-FR"/>
        </w:rPr>
        <w:t>Domaines de recherche</w:t>
      </w:r>
    </w:p>
    <w:p w:rsidR="000876CD" w:rsidRPr="000876CD" w:rsidRDefault="000876CD" w:rsidP="000876CD">
      <w:pPr>
        <w:numPr>
          <w:ilvl w:val="0"/>
          <w:numId w:val="2"/>
        </w:numPr>
        <w:jc w:val="left"/>
        <w:textAlignment w:val="baseline"/>
        <w:rPr>
          <w:rFonts w:eastAsia="Times New Roman" w:cs="Times New Roman"/>
          <w:sz w:val="24"/>
          <w:szCs w:val="24"/>
          <w:lang w:eastAsia="fr-FR"/>
        </w:rPr>
      </w:pPr>
      <w:r w:rsidRPr="000876CD">
        <w:rPr>
          <w:rFonts w:eastAsia="Times New Roman" w:cs="Times New Roman"/>
          <w:i/>
          <w:iCs/>
          <w:color w:val="4C76A2"/>
          <w:sz w:val="24"/>
          <w:szCs w:val="24"/>
          <w:lang w:eastAsia="fr-FR"/>
        </w:rPr>
        <w:t>Transmission des savoirs, didactique de la création artistique</w:t>
      </w:r>
    </w:p>
    <w:p w:rsidR="000876CD" w:rsidRPr="000876CD" w:rsidRDefault="000876CD" w:rsidP="000876CD">
      <w:pPr>
        <w:numPr>
          <w:ilvl w:val="0"/>
          <w:numId w:val="2"/>
        </w:numPr>
        <w:jc w:val="left"/>
        <w:textAlignment w:val="baseline"/>
        <w:rPr>
          <w:rFonts w:eastAsia="Times New Roman" w:cs="Times New Roman"/>
          <w:sz w:val="24"/>
          <w:szCs w:val="24"/>
          <w:lang w:eastAsia="fr-FR"/>
        </w:rPr>
      </w:pPr>
      <w:r w:rsidRPr="000876CD">
        <w:rPr>
          <w:rFonts w:eastAsia="Times New Roman" w:cs="Times New Roman"/>
          <w:i/>
          <w:iCs/>
          <w:color w:val="4C76A2"/>
          <w:sz w:val="24"/>
          <w:szCs w:val="24"/>
          <w:lang w:eastAsia="fr-FR"/>
        </w:rPr>
        <w:t>Diffusion et réception de l'art et du design allemand en Europe et aux États-Unis au XXe siècle</w:t>
      </w:r>
    </w:p>
    <w:p w:rsidR="000876CD" w:rsidRPr="000876CD" w:rsidRDefault="000876CD" w:rsidP="000876CD">
      <w:pPr>
        <w:numPr>
          <w:ilvl w:val="0"/>
          <w:numId w:val="2"/>
        </w:numPr>
        <w:jc w:val="left"/>
        <w:textAlignment w:val="baseline"/>
        <w:rPr>
          <w:rFonts w:eastAsia="Times New Roman" w:cs="Times New Roman"/>
          <w:sz w:val="24"/>
          <w:szCs w:val="24"/>
          <w:lang w:eastAsia="fr-FR"/>
        </w:rPr>
      </w:pPr>
      <w:r w:rsidRPr="000876CD">
        <w:rPr>
          <w:rFonts w:eastAsia="Times New Roman" w:cs="Times New Roman"/>
          <w:i/>
          <w:iCs/>
          <w:color w:val="4C76A2"/>
          <w:sz w:val="24"/>
          <w:szCs w:val="24"/>
          <w:lang w:eastAsia="fr-FR"/>
        </w:rPr>
        <w:t>Couleur et espace</w:t>
      </w:r>
    </w:p>
    <w:p w:rsidR="000876CD" w:rsidRPr="000876CD" w:rsidRDefault="000876CD" w:rsidP="000876CD">
      <w:pPr>
        <w:jc w:val="left"/>
        <w:rPr>
          <w:rFonts w:eastAsia="Times New Roman" w:cs="Helvetica"/>
          <w:sz w:val="24"/>
          <w:szCs w:val="24"/>
          <w:lang w:eastAsia="fr-FR"/>
        </w:rPr>
      </w:pPr>
    </w:p>
    <w:p w:rsidR="000876CD" w:rsidRPr="000876CD" w:rsidRDefault="000876CD" w:rsidP="000876CD">
      <w:pPr>
        <w:jc w:val="left"/>
        <w:rPr>
          <w:rFonts w:eastAsia="Times New Roman" w:cs="Open Sans"/>
          <w:b/>
          <w:bCs/>
          <w:i/>
          <w:iCs/>
          <w:color w:val="4C76A2"/>
          <w:spacing w:val="-8"/>
          <w:sz w:val="24"/>
          <w:szCs w:val="24"/>
          <w:lang w:eastAsia="fr-FR"/>
        </w:rPr>
      </w:pPr>
    </w:p>
    <w:p w:rsidR="000876CD" w:rsidRPr="000876CD" w:rsidRDefault="000876CD" w:rsidP="000876CD">
      <w:pPr>
        <w:jc w:val="left"/>
        <w:rPr>
          <w:rFonts w:eastAsia="Times New Roman" w:cs="Helvetica"/>
          <w:sz w:val="24"/>
          <w:szCs w:val="24"/>
          <w:lang w:eastAsia="fr-FR"/>
        </w:rPr>
      </w:pPr>
      <w:r w:rsidRPr="000876CD">
        <w:rPr>
          <w:rFonts w:eastAsia="Times New Roman" w:cs="Open Sans"/>
          <w:b/>
          <w:bCs/>
          <w:i/>
          <w:iCs/>
          <w:color w:val="4C76A2"/>
          <w:spacing w:val="-8"/>
          <w:sz w:val="24"/>
          <w:szCs w:val="24"/>
          <w:lang w:eastAsia="fr-FR"/>
        </w:rPr>
        <w:t>Publications (sélection)</w:t>
      </w:r>
    </w:p>
    <w:p w:rsidR="000876CD" w:rsidRPr="000876CD" w:rsidRDefault="000876CD" w:rsidP="000876CD">
      <w:pPr>
        <w:jc w:val="left"/>
        <w:rPr>
          <w:rFonts w:eastAsia="Times New Roman" w:cs="Helvetica"/>
          <w:sz w:val="24"/>
          <w:szCs w:val="24"/>
          <w:lang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i/>
          <w:iCs/>
          <w:color w:val="4C76A2"/>
          <w:sz w:val="24"/>
          <w:szCs w:val="24"/>
          <w:lang w:eastAsia="fr-FR"/>
        </w:rPr>
        <w:t>La vie artistique en Allemagne après 1945</w:t>
      </w:r>
      <w:r w:rsidRPr="000876CD">
        <w:rPr>
          <w:rFonts w:eastAsia="Times New Roman" w:cs="Times New Roman"/>
          <w:color w:val="4C76A2"/>
          <w:sz w:val="24"/>
          <w:szCs w:val="24"/>
          <w:lang w:eastAsia="fr-FR"/>
        </w:rPr>
        <w:t>, Bruxelles, Peter Lang, 2018, 386 p. (version remaniée de la thèse).</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color w:val="4C76A2"/>
          <w:sz w:val="24"/>
          <w:szCs w:val="24"/>
          <w:lang w:eastAsia="fr-FR"/>
        </w:rPr>
      </w:pPr>
      <w:r w:rsidRPr="000876CD">
        <w:rPr>
          <w:rFonts w:eastAsia="Times New Roman" w:cs="Times New Roman"/>
          <w:color w:val="4C76A2"/>
          <w:sz w:val="24"/>
          <w:szCs w:val="24"/>
          <w:lang w:eastAsia="fr-FR"/>
        </w:rPr>
        <w:lastRenderedPageBreak/>
        <w:t xml:space="preserve">« Recyclage post épuratoire dans les milieux de l’enseignement artistique allemand », dans </w:t>
      </w:r>
      <w:r w:rsidRPr="000876CD">
        <w:rPr>
          <w:rFonts w:eastAsia="Times New Roman" w:cs="Times New Roman"/>
          <w:i/>
          <w:iCs/>
          <w:color w:val="4C76A2"/>
          <w:sz w:val="24"/>
          <w:szCs w:val="24"/>
          <w:lang w:eastAsia="fr-FR"/>
        </w:rPr>
        <w:t>Pour une histoire transnationale des épurations en Europe au sortir de la 2WW</w:t>
      </w:r>
      <w:r w:rsidRPr="000876CD">
        <w:rPr>
          <w:rFonts w:eastAsia="Times New Roman" w:cs="Times New Roman"/>
          <w:color w:val="4C76A2"/>
          <w:sz w:val="24"/>
          <w:szCs w:val="24"/>
          <w:lang w:eastAsia="fr-FR"/>
        </w:rPr>
        <w:t xml:space="preserve">, Bruxelles, Peter Lang </w:t>
      </w:r>
      <w:proofErr w:type="spellStart"/>
      <w:r w:rsidRPr="000876CD">
        <w:rPr>
          <w:rFonts w:eastAsia="Times New Roman" w:cs="Times New Roman"/>
          <w:color w:val="4C76A2"/>
          <w:sz w:val="24"/>
          <w:szCs w:val="24"/>
          <w:lang w:eastAsia="fr-FR"/>
        </w:rPr>
        <w:t>Verlag</w:t>
      </w:r>
      <w:proofErr w:type="spellEnd"/>
      <w:r w:rsidRPr="000876CD">
        <w:rPr>
          <w:rFonts w:eastAsia="Times New Roman" w:cs="Times New Roman"/>
          <w:color w:val="4C76A2"/>
          <w:sz w:val="24"/>
          <w:szCs w:val="24"/>
          <w:lang w:eastAsia="fr-FR"/>
        </w:rPr>
        <w:t>, 2018 [à paraître].</w:t>
      </w:r>
    </w:p>
    <w:p w:rsidR="000876CD" w:rsidRPr="000876CD" w:rsidRDefault="000876CD" w:rsidP="000876CD">
      <w:pPr>
        <w:rPr>
          <w:rFonts w:eastAsia="Times New Roman" w:cs="Times New Roman"/>
          <w:color w:val="4C76A2"/>
          <w:sz w:val="24"/>
          <w:szCs w:val="24"/>
          <w:lang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color w:val="4C76A2"/>
          <w:sz w:val="24"/>
          <w:szCs w:val="24"/>
          <w:lang w:eastAsia="fr-FR"/>
        </w:rPr>
        <w:t xml:space="preserve">« Peut-on parler d’heure zéro ? Regards croisés d’artistes et d’étudiants d’art allemands de toutes les zones d’occupation », </w:t>
      </w:r>
      <w:r w:rsidRPr="000876CD">
        <w:rPr>
          <w:rFonts w:eastAsia="Times New Roman" w:cs="Times New Roman"/>
          <w:i/>
          <w:iCs/>
          <w:color w:val="4C76A2"/>
          <w:sz w:val="24"/>
          <w:szCs w:val="24"/>
          <w:lang w:eastAsia="fr-FR"/>
        </w:rPr>
        <w:t>Allemagne d’aujourd’hui</w:t>
      </w:r>
      <w:r w:rsidRPr="000876CD">
        <w:rPr>
          <w:rFonts w:eastAsia="Times New Roman" w:cs="Times New Roman"/>
          <w:color w:val="4C76A2"/>
          <w:sz w:val="24"/>
          <w:szCs w:val="24"/>
          <w:lang w:eastAsia="fr-FR"/>
        </w:rPr>
        <w:t xml:space="preserve">, n°224 </w:t>
      </w:r>
      <w:proofErr w:type="spellStart"/>
      <w:r w:rsidRPr="000876CD">
        <w:rPr>
          <w:rFonts w:eastAsia="Times New Roman" w:cs="Times New Roman"/>
          <w:color w:val="4C76A2"/>
          <w:sz w:val="24"/>
          <w:szCs w:val="24"/>
          <w:lang w:eastAsia="fr-FR"/>
        </w:rPr>
        <w:t>Stunde</w:t>
      </w:r>
      <w:proofErr w:type="spellEnd"/>
      <w:r w:rsidRPr="000876CD">
        <w:rPr>
          <w:rFonts w:eastAsia="Times New Roman" w:cs="Times New Roman"/>
          <w:color w:val="4C76A2"/>
          <w:sz w:val="24"/>
          <w:szCs w:val="24"/>
          <w:lang w:eastAsia="fr-FR"/>
        </w:rPr>
        <w:t xml:space="preserve"> Nul, II-2018, p.105-115.</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color w:val="4C76A2"/>
          <w:sz w:val="24"/>
          <w:szCs w:val="24"/>
          <w:lang w:eastAsia="fr-FR"/>
        </w:rPr>
      </w:pPr>
      <w:r w:rsidRPr="000876CD">
        <w:rPr>
          <w:rFonts w:eastAsia="Times New Roman" w:cs="Times New Roman"/>
          <w:color w:val="4C76A2"/>
          <w:sz w:val="24"/>
          <w:szCs w:val="24"/>
          <w:lang w:eastAsia="fr-FR"/>
        </w:rPr>
        <w:t xml:space="preserve">« 1945 ou peut-on faire de l’art après le nazisme ? », dans </w:t>
      </w:r>
      <w:r w:rsidRPr="000876CD">
        <w:rPr>
          <w:rFonts w:eastAsia="Times New Roman" w:cs="Times New Roman"/>
          <w:i/>
          <w:iCs/>
          <w:color w:val="4C76A2"/>
          <w:sz w:val="24"/>
          <w:szCs w:val="24"/>
          <w:lang w:eastAsia="fr-FR"/>
        </w:rPr>
        <w:t xml:space="preserve">« </w:t>
      </w:r>
      <w:proofErr w:type="spellStart"/>
      <w:r w:rsidRPr="000876CD">
        <w:rPr>
          <w:rFonts w:eastAsia="Times New Roman" w:cs="Times New Roman"/>
          <w:i/>
          <w:iCs/>
          <w:color w:val="4C76A2"/>
          <w:sz w:val="24"/>
          <w:szCs w:val="24"/>
          <w:lang w:eastAsia="fr-FR"/>
        </w:rPr>
        <w:t>Götzendämmerung</w:t>
      </w:r>
      <w:proofErr w:type="spellEnd"/>
      <w:r w:rsidRPr="000876CD">
        <w:rPr>
          <w:rFonts w:eastAsia="Times New Roman" w:cs="Times New Roman"/>
          <w:i/>
          <w:iCs/>
          <w:color w:val="4C76A2"/>
          <w:sz w:val="24"/>
          <w:szCs w:val="24"/>
          <w:lang w:eastAsia="fr-FR"/>
        </w:rPr>
        <w:t xml:space="preserve"> Crépuscule des Idoles. Seconde Guerre mondiale dans la mémoire collective : Littérature-Art-Histoire</w:t>
      </w:r>
      <w:r w:rsidRPr="000876CD">
        <w:rPr>
          <w:rFonts w:eastAsia="Times New Roman" w:cs="Times New Roman"/>
          <w:color w:val="4C76A2"/>
          <w:sz w:val="24"/>
          <w:szCs w:val="24"/>
          <w:lang w:eastAsia="fr-FR"/>
        </w:rPr>
        <w:t xml:space="preserve">, sous la direction de </w:t>
      </w:r>
      <w:proofErr w:type="spellStart"/>
      <w:r w:rsidRPr="000876CD">
        <w:rPr>
          <w:rFonts w:eastAsia="Times New Roman" w:cs="Times New Roman"/>
          <w:color w:val="4C76A2"/>
          <w:sz w:val="24"/>
          <w:szCs w:val="24"/>
          <w:lang w:eastAsia="fr-FR"/>
        </w:rPr>
        <w:t>Gislinde</w:t>
      </w:r>
      <w:proofErr w:type="spellEnd"/>
      <w:r w:rsidRPr="000876CD">
        <w:rPr>
          <w:rFonts w:eastAsia="Times New Roman" w:cs="Times New Roman"/>
          <w:color w:val="4C76A2"/>
          <w:sz w:val="24"/>
          <w:szCs w:val="24"/>
          <w:lang w:eastAsia="fr-FR"/>
        </w:rPr>
        <w:t xml:space="preserve"> </w:t>
      </w:r>
      <w:proofErr w:type="spellStart"/>
      <w:r w:rsidRPr="000876CD">
        <w:rPr>
          <w:rFonts w:eastAsia="Times New Roman" w:cs="Times New Roman"/>
          <w:color w:val="4C76A2"/>
          <w:sz w:val="24"/>
          <w:szCs w:val="24"/>
          <w:lang w:eastAsia="fr-FR"/>
        </w:rPr>
        <w:t>Seybert</w:t>
      </w:r>
      <w:proofErr w:type="spellEnd"/>
      <w:r w:rsidRPr="000876CD">
        <w:rPr>
          <w:rFonts w:eastAsia="Times New Roman" w:cs="Times New Roman"/>
          <w:color w:val="4C76A2"/>
          <w:sz w:val="24"/>
          <w:szCs w:val="24"/>
          <w:lang w:eastAsia="fr-FR"/>
        </w:rPr>
        <w:t xml:space="preserve">, Zürich, Peter Lang </w:t>
      </w:r>
      <w:proofErr w:type="spellStart"/>
      <w:r w:rsidRPr="000876CD">
        <w:rPr>
          <w:rFonts w:eastAsia="Times New Roman" w:cs="Times New Roman"/>
          <w:color w:val="4C76A2"/>
          <w:sz w:val="24"/>
          <w:szCs w:val="24"/>
          <w:lang w:eastAsia="fr-FR"/>
        </w:rPr>
        <w:t>Verlag</w:t>
      </w:r>
      <w:proofErr w:type="spellEnd"/>
      <w:r w:rsidRPr="000876CD">
        <w:rPr>
          <w:rFonts w:eastAsia="Times New Roman" w:cs="Times New Roman"/>
          <w:color w:val="4C76A2"/>
          <w:sz w:val="24"/>
          <w:szCs w:val="24"/>
          <w:lang w:eastAsia="fr-FR"/>
        </w:rPr>
        <w:t>, septembre 2017, p. 425-450.</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color w:val="4C76A2"/>
          <w:sz w:val="24"/>
          <w:szCs w:val="24"/>
          <w:lang w:val="en-US" w:eastAsia="fr-FR"/>
        </w:rPr>
      </w:pPr>
      <w:r w:rsidRPr="000876CD">
        <w:rPr>
          <w:rFonts w:eastAsia="Times New Roman" w:cs="Times New Roman"/>
          <w:color w:val="4C76A2"/>
          <w:sz w:val="24"/>
          <w:szCs w:val="24"/>
          <w:lang w:val="en-US" w:eastAsia="fr-FR"/>
        </w:rPr>
        <w:t xml:space="preserve">« From division to reunification: what were the representations of Germany in </w:t>
      </w:r>
      <w:proofErr w:type="gramStart"/>
      <w:r w:rsidRPr="000876CD">
        <w:rPr>
          <w:rFonts w:eastAsia="Times New Roman" w:cs="Times New Roman"/>
          <w:color w:val="4C76A2"/>
          <w:sz w:val="24"/>
          <w:szCs w:val="24"/>
          <w:lang w:val="en-US" w:eastAsia="fr-FR"/>
        </w:rPr>
        <w:t>Europe ?</w:t>
      </w:r>
      <w:proofErr w:type="gramEnd"/>
      <w:r w:rsidRPr="000876CD">
        <w:rPr>
          <w:rFonts w:eastAsia="Times New Roman" w:cs="Times New Roman"/>
          <w:color w:val="4C76A2"/>
          <w:sz w:val="24"/>
          <w:szCs w:val="24"/>
          <w:lang w:val="en-US" w:eastAsia="fr-FR"/>
        </w:rPr>
        <w:t xml:space="preserve"> A comparative study between the World’s Fairs Brussels 1958 and Lisbon 1998 », </w:t>
      </w:r>
      <w:proofErr w:type="spellStart"/>
      <w:r w:rsidRPr="000876CD">
        <w:rPr>
          <w:rFonts w:eastAsia="Times New Roman" w:cs="Times New Roman"/>
          <w:color w:val="4C76A2"/>
          <w:sz w:val="24"/>
          <w:szCs w:val="24"/>
          <w:lang w:val="en-US" w:eastAsia="fr-FR"/>
        </w:rPr>
        <w:t>dans</w:t>
      </w:r>
      <w:proofErr w:type="spellEnd"/>
      <w:r w:rsidRPr="000876CD">
        <w:rPr>
          <w:rFonts w:eastAsia="Times New Roman" w:cs="Times New Roman"/>
          <w:color w:val="4C76A2"/>
          <w:sz w:val="24"/>
          <w:szCs w:val="24"/>
          <w:lang w:val="en-US" w:eastAsia="fr-FR"/>
        </w:rPr>
        <w:t xml:space="preserve"> </w:t>
      </w:r>
      <w:proofErr w:type="spellStart"/>
      <w:r w:rsidRPr="000876CD">
        <w:rPr>
          <w:rFonts w:eastAsia="Times New Roman" w:cs="Times New Roman"/>
          <w:i/>
          <w:iCs/>
          <w:color w:val="4C76A2"/>
          <w:sz w:val="24"/>
          <w:szCs w:val="24"/>
          <w:lang w:val="en-US" w:eastAsia="fr-FR"/>
        </w:rPr>
        <w:t>Selbstbild</w:t>
      </w:r>
      <w:proofErr w:type="spellEnd"/>
      <w:r w:rsidRPr="000876CD">
        <w:rPr>
          <w:rFonts w:eastAsia="Times New Roman" w:cs="Times New Roman"/>
          <w:i/>
          <w:iCs/>
          <w:color w:val="4C76A2"/>
          <w:sz w:val="24"/>
          <w:szCs w:val="24"/>
          <w:lang w:val="en-US" w:eastAsia="fr-FR"/>
        </w:rPr>
        <w:t xml:space="preserve"> und Image </w:t>
      </w:r>
      <w:proofErr w:type="spellStart"/>
      <w:r w:rsidRPr="000876CD">
        <w:rPr>
          <w:rFonts w:eastAsia="Times New Roman" w:cs="Times New Roman"/>
          <w:i/>
          <w:iCs/>
          <w:color w:val="4C76A2"/>
          <w:sz w:val="24"/>
          <w:szCs w:val="24"/>
          <w:lang w:val="en-US" w:eastAsia="fr-FR"/>
        </w:rPr>
        <w:t>Deutschlands</w:t>
      </w:r>
      <w:proofErr w:type="spellEnd"/>
      <w:r w:rsidRPr="000876CD">
        <w:rPr>
          <w:rFonts w:eastAsia="Times New Roman" w:cs="Times New Roman"/>
          <w:i/>
          <w:iCs/>
          <w:color w:val="4C76A2"/>
          <w:sz w:val="24"/>
          <w:szCs w:val="24"/>
          <w:lang w:val="en-US" w:eastAsia="fr-FR"/>
        </w:rPr>
        <w:t xml:space="preserve"> in den </w:t>
      </w:r>
      <w:proofErr w:type="spellStart"/>
      <w:r w:rsidRPr="000876CD">
        <w:rPr>
          <w:rFonts w:eastAsia="Times New Roman" w:cs="Times New Roman"/>
          <w:i/>
          <w:iCs/>
          <w:color w:val="4C76A2"/>
          <w:sz w:val="24"/>
          <w:szCs w:val="24"/>
          <w:lang w:val="en-US" w:eastAsia="fr-FR"/>
        </w:rPr>
        <w:t>Weltausstellungen</w:t>
      </w:r>
      <w:proofErr w:type="spellEnd"/>
      <w:r w:rsidRPr="000876CD">
        <w:rPr>
          <w:rFonts w:eastAsia="Times New Roman" w:cs="Times New Roman"/>
          <w:color w:val="4C76A2"/>
          <w:sz w:val="24"/>
          <w:szCs w:val="24"/>
          <w:lang w:val="en-US" w:eastAsia="fr-FR"/>
        </w:rPr>
        <w:t xml:space="preserve">, </w:t>
      </w:r>
      <w:proofErr w:type="spellStart"/>
      <w:r w:rsidRPr="000876CD">
        <w:rPr>
          <w:rFonts w:eastAsia="Times New Roman" w:cs="Times New Roman"/>
          <w:color w:val="4C76A2"/>
          <w:sz w:val="24"/>
          <w:szCs w:val="24"/>
          <w:lang w:val="en-US" w:eastAsia="fr-FR"/>
        </w:rPr>
        <w:t>herausgegeben</w:t>
      </w:r>
      <w:proofErr w:type="spellEnd"/>
      <w:r w:rsidRPr="000876CD">
        <w:rPr>
          <w:rFonts w:eastAsia="Times New Roman" w:cs="Times New Roman"/>
          <w:color w:val="4C76A2"/>
          <w:sz w:val="24"/>
          <w:szCs w:val="24"/>
          <w:lang w:val="en-US" w:eastAsia="fr-FR"/>
        </w:rPr>
        <w:t xml:space="preserve"> von Pascale Cohen-Avenel, </w:t>
      </w:r>
      <w:proofErr w:type="spellStart"/>
      <w:r w:rsidRPr="000876CD">
        <w:rPr>
          <w:rFonts w:eastAsia="Times New Roman" w:cs="Times New Roman"/>
          <w:color w:val="4C76A2"/>
          <w:sz w:val="24"/>
          <w:szCs w:val="24"/>
          <w:lang w:val="en-US" w:eastAsia="fr-FR"/>
        </w:rPr>
        <w:t>Würzburg</w:t>
      </w:r>
      <w:proofErr w:type="spellEnd"/>
      <w:r w:rsidRPr="000876CD">
        <w:rPr>
          <w:rFonts w:eastAsia="Times New Roman" w:cs="Times New Roman"/>
          <w:color w:val="4C76A2"/>
          <w:sz w:val="24"/>
          <w:szCs w:val="24"/>
          <w:lang w:val="en-US" w:eastAsia="fr-FR"/>
        </w:rPr>
        <w:t xml:space="preserve">, </w:t>
      </w:r>
      <w:proofErr w:type="spellStart"/>
      <w:r w:rsidRPr="000876CD">
        <w:rPr>
          <w:rFonts w:eastAsia="Times New Roman" w:cs="Times New Roman"/>
          <w:color w:val="4C76A2"/>
          <w:sz w:val="24"/>
          <w:szCs w:val="24"/>
          <w:lang w:val="en-US" w:eastAsia="fr-FR"/>
        </w:rPr>
        <w:t>Koenigshausen</w:t>
      </w:r>
      <w:proofErr w:type="spellEnd"/>
      <w:r w:rsidRPr="000876CD">
        <w:rPr>
          <w:rFonts w:eastAsia="Times New Roman" w:cs="Times New Roman"/>
          <w:color w:val="4C76A2"/>
          <w:sz w:val="24"/>
          <w:szCs w:val="24"/>
          <w:lang w:val="en-US" w:eastAsia="fr-FR"/>
        </w:rPr>
        <w:t xml:space="preserve"> &amp; Neumann, </w:t>
      </w:r>
      <w:proofErr w:type="spellStart"/>
      <w:r w:rsidRPr="000876CD">
        <w:rPr>
          <w:rFonts w:eastAsia="Times New Roman" w:cs="Times New Roman"/>
          <w:color w:val="4C76A2"/>
          <w:sz w:val="24"/>
          <w:szCs w:val="24"/>
          <w:lang w:val="en-US" w:eastAsia="fr-FR"/>
        </w:rPr>
        <w:t>juin</w:t>
      </w:r>
      <w:proofErr w:type="spellEnd"/>
      <w:r w:rsidRPr="000876CD">
        <w:rPr>
          <w:rFonts w:eastAsia="Times New Roman" w:cs="Times New Roman"/>
          <w:color w:val="4C76A2"/>
          <w:sz w:val="24"/>
          <w:szCs w:val="24"/>
          <w:lang w:val="en-US" w:eastAsia="fr-FR"/>
        </w:rPr>
        <w:t xml:space="preserve"> 2017, p. 213-249.</w:t>
      </w:r>
    </w:p>
    <w:p w:rsidR="000876CD" w:rsidRPr="000876CD" w:rsidRDefault="000876CD" w:rsidP="000876CD">
      <w:pPr>
        <w:rPr>
          <w:rFonts w:eastAsia="Times New Roman" w:cs="Times New Roman"/>
          <w:sz w:val="24"/>
          <w:szCs w:val="24"/>
          <w:lang w:val="en-US"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color w:val="4C76A2"/>
          <w:sz w:val="24"/>
          <w:szCs w:val="24"/>
          <w:lang w:eastAsia="fr-FR"/>
        </w:rPr>
        <w:t xml:space="preserve">« De la théorie à la pratique ou de la pratique à la théorie : comment enseigner l’abstraction dans les zones occidentales d’occupation en Allemagne après 1945 », </w:t>
      </w:r>
      <w:r w:rsidRPr="000876CD">
        <w:rPr>
          <w:rFonts w:eastAsia="Times New Roman" w:cs="Times New Roman"/>
          <w:i/>
          <w:iCs/>
          <w:color w:val="4C76A2"/>
          <w:sz w:val="24"/>
          <w:szCs w:val="24"/>
          <w:lang w:eastAsia="fr-FR"/>
        </w:rPr>
        <w:t>Allemagne d’aujourd’hui</w:t>
      </w:r>
      <w:r w:rsidRPr="000876CD">
        <w:rPr>
          <w:rFonts w:eastAsia="Times New Roman" w:cs="Times New Roman"/>
          <w:color w:val="4C76A2"/>
          <w:sz w:val="24"/>
          <w:szCs w:val="24"/>
          <w:lang w:eastAsia="fr-FR"/>
        </w:rPr>
        <w:t xml:space="preserve">, n°216 École et minorités dans les pays allemands 18e-21e, 2-2016, édité par Viviane </w:t>
      </w:r>
      <w:proofErr w:type="spellStart"/>
      <w:r w:rsidRPr="000876CD">
        <w:rPr>
          <w:rFonts w:eastAsia="Times New Roman" w:cs="Times New Roman"/>
          <w:color w:val="4C76A2"/>
          <w:sz w:val="24"/>
          <w:szCs w:val="24"/>
          <w:lang w:eastAsia="fr-FR"/>
        </w:rPr>
        <w:t>Prest</w:t>
      </w:r>
      <w:proofErr w:type="spellEnd"/>
      <w:r w:rsidRPr="000876CD">
        <w:rPr>
          <w:rFonts w:eastAsia="Times New Roman" w:cs="Times New Roman"/>
          <w:color w:val="4C76A2"/>
          <w:sz w:val="24"/>
          <w:szCs w:val="24"/>
          <w:lang w:eastAsia="fr-FR"/>
        </w:rPr>
        <w:t xml:space="preserve">, Dirk </w:t>
      </w:r>
      <w:proofErr w:type="spellStart"/>
      <w:r w:rsidRPr="000876CD">
        <w:rPr>
          <w:rFonts w:eastAsia="Times New Roman" w:cs="Times New Roman"/>
          <w:color w:val="4C76A2"/>
          <w:sz w:val="24"/>
          <w:szCs w:val="24"/>
          <w:lang w:eastAsia="fr-FR"/>
        </w:rPr>
        <w:t>Weissmann</w:t>
      </w:r>
      <w:proofErr w:type="spellEnd"/>
      <w:r w:rsidRPr="000876CD">
        <w:rPr>
          <w:rFonts w:eastAsia="Times New Roman" w:cs="Times New Roman"/>
          <w:color w:val="4C76A2"/>
          <w:sz w:val="24"/>
          <w:szCs w:val="24"/>
          <w:lang w:eastAsia="fr-FR"/>
        </w:rPr>
        <w:t>, Lille, Presses Universitaires du Septentrion, avril-juin 2016, p. 101-110.</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color w:val="4C76A2"/>
          <w:sz w:val="24"/>
          <w:szCs w:val="24"/>
          <w:lang w:eastAsia="fr-FR"/>
        </w:rPr>
        <w:t xml:space="preserve">« Vers une internationalisation de la scène artistique à Düsseldorf entre la seconde moitié des années 1950 et le début des années 1960 », </w:t>
      </w:r>
      <w:r w:rsidRPr="000876CD">
        <w:rPr>
          <w:rFonts w:eastAsia="Times New Roman" w:cs="Times New Roman"/>
          <w:i/>
          <w:iCs/>
          <w:color w:val="4C76A2"/>
          <w:sz w:val="24"/>
          <w:szCs w:val="24"/>
          <w:lang w:eastAsia="fr-FR"/>
        </w:rPr>
        <w:t>Revue d’Allemagne et des Pays de langue allemande</w:t>
      </w:r>
      <w:r w:rsidRPr="000876CD">
        <w:rPr>
          <w:rFonts w:eastAsia="Times New Roman" w:cs="Times New Roman"/>
          <w:color w:val="4C76A2"/>
          <w:sz w:val="24"/>
          <w:szCs w:val="24"/>
          <w:lang w:eastAsia="fr-FR"/>
        </w:rPr>
        <w:t>, tome 48 Nr.1, sous la direction de la Société d’Etudes Allemandes, Strasbourg, Janvier-juin 2016, p. 179-191.</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color w:val="4C76A2"/>
          <w:sz w:val="24"/>
          <w:szCs w:val="24"/>
          <w:lang w:eastAsia="fr-FR"/>
        </w:rPr>
        <w:t xml:space="preserve">« La situation des académies d’art en Allemagne après 1945 », </w:t>
      </w:r>
      <w:r w:rsidRPr="000876CD">
        <w:rPr>
          <w:rFonts w:eastAsia="Times New Roman" w:cs="Times New Roman"/>
          <w:i/>
          <w:iCs/>
          <w:color w:val="4C76A2"/>
          <w:sz w:val="24"/>
          <w:szCs w:val="24"/>
          <w:lang w:eastAsia="fr-FR"/>
        </w:rPr>
        <w:t>Regards croisés</w:t>
      </w:r>
      <w:r w:rsidRPr="000876CD">
        <w:rPr>
          <w:rFonts w:eastAsia="Times New Roman" w:cs="Times New Roman"/>
          <w:color w:val="4C76A2"/>
          <w:sz w:val="24"/>
          <w:szCs w:val="24"/>
          <w:lang w:eastAsia="fr-FR"/>
        </w:rPr>
        <w:t>, revue franco-allemande de recensions d’histoire de l’art et d’esthétique, numéro 4 « L’Académie », sous la direction de Markus A. Castor, VDG Weimar, décembre 2015, p. 69-94. </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color w:val="4C76A2"/>
          <w:sz w:val="24"/>
          <w:szCs w:val="24"/>
          <w:lang w:eastAsia="fr-FR"/>
        </w:rPr>
      </w:pPr>
      <w:r w:rsidRPr="000876CD">
        <w:rPr>
          <w:rFonts w:eastAsia="Times New Roman" w:cs="Times New Roman"/>
          <w:color w:val="4C76A2"/>
          <w:sz w:val="24"/>
          <w:szCs w:val="24"/>
          <w:lang w:eastAsia="fr-FR"/>
        </w:rPr>
        <w:t xml:space="preserve">« L’enseignement artistique comme moyen de rééducation dans l’immédiat après-guerre : l’exemple de la zone française d’occupation », dans </w:t>
      </w:r>
      <w:r w:rsidRPr="000876CD">
        <w:rPr>
          <w:rFonts w:eastAsia="Times New Roman" w:cs="Times New Roman"/>
          <w:i/>
          <w:iCs/>
          <w:color w:val="4C76A2"/>
          <w:sz w:val="24"/>
          <w:szCs w:val="24"/>
          <w:lang w:eastAsia="fr-FR"/>
        </w:rPr>
        <w:t>La création artistique en Allemagne occupée (1945-1949) : enjeux esthétiques et politiques</w:t>
      </w:r>
      <w:r w:rsidRPr="000876CD">
        <w:rPr>
          <w:rFonts w:eastAsia="Times New Roman" w:cs="Times New Roman"/>
          <w:color w:val="4C76A2"/>
          <w:sz w:val="24"/>
          <w:szCs w:val="24"/>
          <w:lang w:eastAsia="fr-FR"/>
        </w:rPr>
        <w:t xml:space="preserve">. Sous la direction d’Élise Petit, actes de colloque, </w:t>
      </w:r>
      <w:proofErr w:type="spellStart"/>
      <w:r w:rsidRPr="000876CD">
        <w:rPr>
          <w:rFonts w:eastAsia="Times New Roman" w:cs="Times New Roman"/>
          <w:color w:val="4C76A2"/>
          <w:sz w:val="24"/>
          <w:szCs w:val="24"/>
          <w:lang w:eastAsia="fr-FR"/>
        </w:rPr>
        <w:t>Sampzon</w:t>
      </w:r>
      <w:proofErr w:type="spellEnd"/>
      <w:r w:rsidRPr="000876CD">
        <w:rPr>
          <w:rFonts w:eastAsia="Times New Roman" w:cs="Times New Roman"/>
          <w:color w:val="4C76A2"/>
          <w:sz w:val="24"/>
          <w:szCs w:val="24"/>
          <w:lang w:eastAsia="fr-FR"/>
        </w:rPr>
        <w:t xml:space="preserve">, Éditions </w:t>
      </w:r>
      <w:proofErr w:type="spellStart"/>
      <w:r w:rsidRPr="000876CD">
        <w:rPr>
          <w:rFonts w:eastAsia="Times New Roman" w:cs="Times New Roman"/>
          <w:color w:val="4C76A2"/>
          <w:sz w:val="24"/>
          <w:szCs w:val="24"/>
          <w:lang w:eastAsia="fr-FR"/>
        </w:rPr>
        <w:t>Delatour</w:t>
      </w:r>
      <w:proofErr w:type="spellEnd"/>
      <w:r w:rsidRPr="000876CD">
        <w:rPr>
          <w:rFonts w:eastAsia="Times New Roman" w:cs="Times New Roman"/>
          <w:color w:val="4C76A2"/>
          <w:sz w:val="24"/>
          <w:szCs w:val="24"/>
          <w:lang w:eastAsia="fr-FR"/>
        </w:rPr>
        <w:t xml:space="preserve"> France, collection Avant-Gardes, septembre 2015, p. 85-101.</w:t>
      </w:r>
    </w:p>
    <w:p w:rsidR="000876CD" w:rsidRPr="000876CD" w:rsidRDefault="000876CD" w:rsidP="000876CD">
      <w:pPr>
        <w:rPr>
          <w:rFonts w:eastAsia="Times New Roman" w:cs="Times New Roman"/>
          <w:sz w:val="24"/>
          <w:szCs w:val="24"/>
          <w:lang w:eastAsia="fr-FR"/>
        </w:rPr>
      </w:pPr>
    </w:p>
    <w:p w:rsidR="000876CD" w:rsidRPr="000876CD" w:rsidRDefault="000876CD" w:rsidP="000876CD">
      <w:pPr>
        <w:rPr>
          <w:rFonts w:eastAsia="Times New Roman" w:cs="Times New Roman"/>
          <w:sz w:val="24"/>
          <w:szCs w:val="24"/>
          <w:lang w:eastAsia="fr-FR"/>
        </w:rPr>
      </w:pPr>
      <w:r w:rsidRPr="000876CD">
        <w:rPr>
          <w:rFonts w:eastAsia="Times New Roman" w:cs="Times New Roman"/>
          <w:color w:val="4C76A2"/>
          <w:sz w:val="24"/>
          <w:szCs w:val="24"/>
          <w:lang w:eastAsia="fr-FR"/>
        </w:rPr>
        <w:t xml:space="preserve">« Les frères </w:t>
      </w:r>
      <w:proofErr w:type="spellStart"/>
      <w:r w:rsidRPr="000876CD">
        <w:rPr>
          <w:rFonts w:eastAsia="Times New Roman" w:cs="Times New Roman"/>
          <w:color w:val="4C76A2"/>
          <w:sz w:val="24"/>
          <w:szCs w:val="24"/>
          <w:lang w:eastAsia="fr-FR"/>
        </w:rPr>
        <w:t>Bouroullec</w:t>
      </w:r>
      <w:proofErr w:type="spellEnd"/>
      <w:r w:rsidRPr="000876CD">
        <w:rPr>
          <w:rFonts w:eastAsia="Times New Roman" w:cs="Times New Roman"/>
          <w:color w:val="4C76A2"/>
          <w:sz w:val="24"/>
          <w:szCs w:val="24"/>
          <w:lang w:eastAsia="fr-FR"/>
        </w:rPr>
        <w:t xml:space="preserve"> ou le triomphe du design dans les expositions muséales, événements esthétiques éphémères », </w:t>
      </w:r>
      <w:r w:rsidRPr="000876CD">
        <w:rPr>
          <w:rFonts w:eastAsia="Times New Roman" w:cs="Times New Roman"/>
          <w:i/>
          <w:iCs/>
          <w:color w:val="4C76A2"/>
          <w:sz w:val="24"/>
          <w:szCs w:val="24"/>
          <w:lang w:eastAsia="fr-FR"/>
        </w:rPr>
        <w:t>Figures de l’Art</w:t>
      </w:r>
      <w:r w:rsidRPr="000876CD">
        <w:rPr>
          <w:rFonts w:eastAsia="Times New Roman" w:cs="Times New Roman"/>
          <w:color w:val="4C76A2"/>
          <w:sz w:val="24"/>
          <w:szCs w:val="24"/>
          <w:lang w:eastAsia="fr-FR"/>
        </w:rPr>
        <w:t>, XXIX Hors-série « Le Design dans l’art contemporain », revue d’études esthétiques, sous la direction de Bernard Lafargue, actes de colloque, Pau, éd. Presses de l’Université de Pau et des Pays de l’Adour (PUPPA), mai 2015, p. 303-315.</w:t>
      </w:r>
    </w:p>
    <w:p w:rsidR="000B1223" w:rsidRDefault="000B1223">
      <w:pPr>
        <w:rPr>
          <w:sz w:val="24"/>
          <w:szCs w:val="24"/>
        </w:rPr>
      </w:pPr>
    </w:p>
    <w:p w:rsidR="000876CD" w:rsidRDefault="000876CD">
      <w:pPr>
        <w:rPr>
          <w:sz w:val="24"/>
          <w:szCs w:val="24"/>
        </w:rPr>
      </w:pPr>
    </w:p>
    <w:p w:rsidR="000876CD" w:rsidRPr="000876CD" w:rsidRDefault="000876CD" w:rsidP="000876CD">
      <w:pPr>
        <w:jc w:val="right"/>
        <w:rPr>
          <w:i/>
          <w:color w:val="0070C0"/>
          <w:sz w:val="20"/>
          <w:szCs w:val="20"/>
        </w:rPr>
      </w:pPr>
      <w:r w:rsidRPr="000876CD">
        <w:rPr>
          <w:i/>
          <w:color w:val="0070C0"/>
          <w:sz w:val="20"/>
          <w:szCs w:val="20"/>
        </w:rPr>
        <w:t>Octobre 2018</w:t>
      </w:r>
    </w:p>
    <w:sectPr w:rsidR="000876CD" w:rsidRPr="00087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A70"/>
    <w:multiLevelType w:val="multilevel"/>
    <w:tmpl w:val="186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41AB0"/>
    <w:multiLevelType w:val="multilevel"/>
    <w:tmpl w:val="27C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CD"/>
    <w:rsid w:val="000876CD"/>
    <w:rsid w:val="000B1223"/>
    <w:rsid w:val="009919A9"/>
    <w:rsid w:val="00D31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876CD"/>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876CD"/>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76C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876C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876CD"/>
    <w:rPr>
      <w:color w:val="0000FF"/>
      <w:u w:val="single"/>
    </w:rPr>
  </w:style>
  <w:style w:type="paragraph" w:styleId="NormalWeb">
    <w:name w:val="Normal (Web)"/>
    <w:basedOn w:val="Normal"/>
    <w:uiPriority w:val="99"/>
    <w:semiHidden/>
    <w:unhideWhenUsed/>
    <w:rsid w:val="000876C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19A9"/>
    <w:rPr>
      <w:rFonts w:ascii="Tahoma" w:hAnsi="Tahoma" w:cs="Tahoma"/>
      <w:sz w:val="16"/>
      <w:szCs w:val="16"/>
    </w:rPr>
  </w:style>
  <w:style w:type="character" w:customStyle="1" w:styleId="TextedebullesCar">
    <w:name w:val="Texte de bulles Car"/>
    <w:basedOn w:val="Policepardfaut"/>
    <w:link w:val="Textedebulles"/>
    <w:uiPriority w:val="99"/>
    <w:semiHidden/>
    <w:rsid w:val="00991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876CD"/>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876CD"/>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76C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876C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876CD"/>
    <w:rPr>
      <w:color w:val="0000FF"/>
      <w:u w:val="single"/>
    </w:rPr>
  </w:style>
  <w:style w:type="paragraph" w:styleId="NormalWeb">
    <w:name w:val="Normal (Web)"/>
    <w:basedOn w:val="Normal"/>
    <w:uiPriority w:val="99"/>
    <w:semiHidden/>
    <w:unhideWhenUsed/>
    <w:rsid w:val="000876C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19A9"/>
    <w:rPr>
      <w:rFonts w:ascii="Tahoma" w:hAnsi="Tahoma" w:cs="Tahoma"/>
      <w:sz w:val="16"/>
      <w:szCs w:val="16"/>
    </w:rPr>
  </w:style>
  <w:style w:type="character" w:customStyle="1" w:styleId="TextedebullesCar">
    <w:name w:val="Texte de bulles Car"/>
    <w:basedOn w:val="Policepardfaut"/>
    <w:link w:val="Textedebulles"/>
    <w:uiPriority w:val="99"/>
    <w:semiHidden/>
    <w:rsid w:val="0099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759070">
      <w:bodyDiv w:val="1"/>
      <w:marLeft w:val="0"/>
      <w:marRight w:val="0"/>
      <w:marTop w:val="0"/>
      <w:marBottom w:val="0"/>
      <w:divBdr>
        <w:top w:val="none" w:sz="0" w:space="0" w:color="auto"/>
        <w:left w:val="none" w:sz="0" w:space="0" w:color="auto"/>
        <w:bottom w:val="none" w:sz="0" w:space="0" w:color="auto"/>
        <w:right w:val="none" w:sz="0" w:space="0" w:color="auto"/>
      </w:divBdr>
      <w:divsChild>
        <w:div w:id="2139688758">
          <w:marLeft w:val="0"/>
          <w:marRight w:val="0"/>
          <w:marTop w:val="0"/>
          <w:marBottom w:val="0"/>
          <w:divBdr>
            <w:top w:val="none" w:sz="0" w:space="0" w:color="auto"/>
            <w:left w:val="none" w:sz="0" w:space="0" w:color="auto"/>
            <w:bottom w:val="none" w:sz="0" w:space="0" w:color="auto"/>
            <w:right w:val="none" w:sz="0" w:space="0" w:color="auto"/>
          </w:divBdr>
          <w:divsChild>
            <w:div w:id="1282228839">
              <w:marLeft w:val="0"/>
              <w:marRight w:val="0"/>
              <w:marTop w:val="0"/>
              <w:marBottom w:val="0"/>
              <w:divBdr>
                <w:top w:val="none" w:sz="0" w:space="0" w:color="auto"/>
                <w:left w:val="none" w:sz="0" w:space="0" w:color="auto"/>
                <w:bottom w:val="none" w:sz="0" w:space="0" w:color="auto"/>
                <w:right w:val="none" w:sz="0" w:space="0" w:color="auto"/>
              </w:divBdr>
              <w:divsChild>
                <w:div w:id="1752239737">
                  <w:marLeft w:val="0"/>
                  <w:marRight w:val="0"/>
                  <w:marTop w:val="0"/>
                  <w:marBottom w:val="0"/>
                  <w:divBdr>
                    <w:top w:val="none" w:sz="0" w:space="0" w:color="auto"/>
                    <w:left w:val="none" w:sz="0" w:space="0" w:color="auto"/>
                    <w:bottom w:val="none" w:sz="0" w:space="0" w:color="auto"/>
                    <w:right w:val="none" w:sz="0" w:space="0" w:color="auto"/>
                  </w:divBdr>
                  <w:divsChild>
                    <w:div w:id="1845850740">
                      <w:marLeft w:val="0"/>
                      <w:marRight w:val="0"/>
                      <w:marTop w:val="0"/>
                      <w:marBottom w:val="0"/>
                      <w:divBdr>
                        <w:top w:val="none" w:sz="0" w:space="0" w:color="auto"/>
                        <w:left w:val="none" w:sz="0" w:space="0" w:color="auto"/>
                        <w:bottom w:val="none" w:sz="0" w:space="0" w:color="auto"/>
                        <w:right w:val="none" w:sz="0" w:space="0" w:color="auto"/>
                      </w:divBdr>
                      <w:divsChild>
                        <w:div w:id="1960142888">
                          <w:marLeft w:val="0"/>
                          <w:marRight w:val="0"/>
                          <w:marTop w:val="0"/>
                          <w:marBottom w:val="0"/>
                          <w:divBdr>
                            <w:top w:val="none" w:sz="0" w:space="0" w:color="auto"/>
                            <w:left w:val="none" w:sz="0" w:space="0" w:color="auto"/>
                            <w:bottom w:val="none" w:sz="0" w:space="0" w:color="auto"/>
                            <w:right w:val="none" w:sz="0" w:space="0" w:color="auto"/>
                          </w:divBdr>
                          <w:divsChild>
                            <w:div w:id="104929761">
                              <w:marLeft w:val="0"/>
                              <w:marRight w:val="0"/>
                              <w:marTop w:val="0"/>
                              <w:marBottom w:val="0"/>
                              <w:divBdr>
                                <w:top w:val="none" w:sz="0" w:space="0" w:color="auto"/>
                                <w:left w:val="none" w:sz="0" w:space="0" w:color="auto"/>
                                <w:bottom w:val="none" w:sz="0" w:space="0" w:color="auto"/>
                                <w:right w:val="none" w:sz="0" w:space="0" w:color="auto"/>
                              </w:divBdr>
                              <w:divsChild>
                                <w:div w:id="107900209">
                                  <w:marLeft w:val="0"/>
                                  <w:marRight w:val="0"/>
                                  <w:marTop w:val="0"/>
                                  <w:marBottom w:val="0"/>
                                  <w:divBdr>
                                    <w:top w:val="none" w:sz="0" w:space="0" w:color="auto"/>
                                    <w:left w:val="none" w:sz="0" w:space="0" w:color="auto"/>
                                    <w:bottom w:val="none" w:sz="0" w:space="0" w:color="auto"/>
                                    <w:right w:val="none" w:sz="0" w:space="0" w:color="auto"/>
                                  </w:divBdr>
                                </w:div>
                                <w:div w:id="319306933">
                                  <w:marLeft w:val="0"/>
                                  <w:marRight w:val="0"/>
                                  <w:marTop w:val="0"/>
                                  <w:marBottom w:val="0"/>
                                  <w:divBdr>
                                    <w:top w:val="none" w:sz="0" w:space="0" w:color="auto"/>
                                    <w:left w:val="none" w:sz="0" w:space="0" w:color="auto"/>
                                    <w:bottom w:val="none" w:sz="0" w:space="0" w:color="auto"/>
                                    <w:right w:val="none" w:sz="0" w:space="0" w:color="auto"/>
                                  </w:divBdr>
                                </w:div>
                                <w:div w:id="120462551">
                                  <w:marLeft w:val="0"/>
                                  <w:marRight w:val="0"/>
                                  <w:marTop w:val="0"/>
                                  <w:marBottom w:val="0"/>
                                  <w:divBdr>
                                    <w:top w:val="none" w:sz="0" w:space="0" w:color="auto"/>
                                    <w:left w:val="none" w:sz="0" w:space="0" w:color="auto"/>
                                    <w:bottom w:val="none" w:sz="0" w:space="0" w:color="auto"/>
                                    <w:right w:val="none" w:sz="0" w:space="0" w:color="auto"/>
                                  </w:divBdr>
                                </w:div>
                                <w:div w:id="2119717857">
                                  <w:marLeft w:val="0"/>
                                  <w:marRight w:val="0"/>
                                  <w:marTop w:val="0"/>
                                  <w:marBottom w:val="0"/>
                                  <w:divBdr>
                                    <w:top w:val="none" w:sz="0" w:space="0" w:color="auto"/>
                                    <w:left w:val="none" w:sz="0" w:space="0" w:color="auto"/>
                                    <w:bottom w:val="none" w:sz="0" w:space="0" w:color="auto"/>
                                    <w:right w:val="none" w:sz="0" w:space="0" w:color="auto"/>
                                  </w:divBdr>
                                </w:div>
                                <w:div w:id="48193399">
                                  <w:marLeft w:val="0"/>
                                  <w:marRight w:val="0"/>
                                  <w:marTop w:val="0"/>
                                  <w:marBottom w:val="0"/>
                                  <w:divBdr>
                                    <w:top w:val="none" w:sz="0" w:space="0" w:color="auto"/>
                                    <w:left w:val="none" w:sz="0" w:space="0" w:color="auto"/>
                                    <w:bottom w:val="none" w:sz="0" w:space="0" w:color="auto"/>
                                    <w:right w:val="none" w:sz="0" w:space="0" w:color="auto"/>
                                  </w:divBdr>
                                </w:div>
                                <w:div w:id="115412337">
                                  <w:marLeft w:val="0"/>
                                  <w:marRight w:val="0"/>
                                  <w:marTop w:val="0"/>
                                  <w:marBottom w:val="0"/>
                                  <w:divBdr>
                                    <w:top w:val="none" w:sz="0" w:space="0" w:color="auto"/>
                                    <w:left w:val="none" w:sz="0" w:space="0" w:color="auto"/>
                                    <w:bottom w:val="none" w:sz="0" w:space="0" w:color="auto"/>
                                    <w:right w:val="none" w:sz="0" w:space="0" w:color="auto"/>
                                  </w:divBdr>
                                </w:div>
                                <w:div w:id="1006708641">
                                  <w:marLeft w:val="0"/>
                                  <w:marRight w:val="0"/>
                                  <w:marTop w:val="0"/>
                                  <w:marBottom w:val="0"/>
                                  <w:divBdr>
                                    <w:top w:val="none" w:sz="0" w:space="0" w:color="auto"/>
                                    <w:left w:val="none" w:sz="0" w:space="0" w:color="auto"/>
                                    <w:bottom w:val="none" w:sz="0" w:space="0" w:color="auto"/>
                                    <w:right w:val="none" w:sz="0" w:space="0" w:color="auto"/>
                                  </w:divBdr>
                                </w:div>
                                <w:div w:id="56175850">
                                  <w:marLeft w:val="0"/>
                                  <w:marRight w:val="0"/>
                                  <w:marTop w:val="0"/>
                                  <w:marBottom w:val="0"/>
                                  <w:divBdr>
                                    <w:top w:val="none" w:sz="0" w:space="0" w:color="auto"/>
                                    <w:left w:val="none" w:sz="0" w:space="0" w:color="auto"/>
                                    <w:bottom w:val="none" w:sz="0" w:space="0" w:color="auto"/>
                                    <w:right w:val="none" w:sz="0" w:space="0" w:color="auto"/>
                                  </w:divBdr>
                                </w:div>
                                <w:div w:id="541746011">
                                  <w:marLeft w:val="0"/>
                                  <w:marRight w:val="0"/>
                                  <w:marTop w:val="0"/>
                                  <w:marBottom w:val="0"/>
                                  <w:divBdr>
                                    <w:top w:val="none" w:sz="0" w:space="0" w:color="auto"/>
                                    <w:left w:val="none" w:sz="0" w:space="0" w:color="auto"/>
                                    <w:bottom w:val="none" w:sz="0" w:space="0" w:color="auto"/>
                                    <w:right w:val="none" w:sz="0" w:space="0" w:color="auto"/>
                                  </w:divBdr>
                                </w:div>
                                <w:div w:id="1453090500">
                                  <w:marLeft w:val="0"/>
                                  <w:marRight w:val="0"/>
                                  <w:marTop w:val="0"/>
                                  <w:marBottom w:val="0"/>
                                  <w:divBdr>
                                    <w:top w:val="none" w:sz="0" w:space="0" w:color="auto"/>
                                    <w:left w:val="none" w:sz="0" w:space="0" w:color="auto"/>
                                    <w:bottom w:val="none" w:sz="0" w:space="0" w:color="auto"/>
                                    <w:right w:val="none" w:sz="0" w:space="0" w:color="auto"/>
                                  </w:divBdr>
                                  <w:divsChild>
                                    <w:div w:id="8509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6352">
                              <w:marLeft w:val="0"/>
                              <w:marRight w:val="0"/>
                              <w:marTop w:val="0"/>
                              <w:marBottom w:val="0"/>
                              <w:divBdr>
                                <w:top w:val="none" w:sz="0" w:space="0" w:color="auto"/>
                                <w:left w:val="none" w:sz="0" w:space="0" w:color="auto"/>
                                <w:bottom w:val="none" w:sz="0" w:space="0" w:color="auto"/>
                                <w:right w:val="none" w:sz="0" w:space="0" w:color="auto"/>
                              </w:divBdr>
                            </w:div>
                            <w:div w:id="1468740379">
                              <w:marLeft w:val="0"/>
                              <w:marRight w:val="0"/>
                              <w:marTop w:val="0"/>
                              <w:marBottom w:val="0"/>
                              <w:divBdr>
                                <w:top w:val="none" w:sz="0" w:space="0" w:color="auto"/>
                                <w:left w:val="none" w:sz="0" w:space="0" w:color="auto"/>
                                <w:bottom w:val="none" w:sz="0" w:space="0" w:color="auto"/>
                                <w:right w:val="none" w:sz="0" w:space="0" w:color="auto"/>
                              </w:divBdr>
                            </w:div>
                            <w:div w:id="5669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86407">
          <w:marLeft w:val="0"/>
          <w:marRight w:val="0"/>
          <w:marTop w:val="0"/>
          <w:marBottom w:val="0"/>
          <w:divBdr>
            <w:top w:val="none" w:sz="0" w:space="0" w:color="auto"/>
            <w:left w:val="none" w:sz="0" w:space="0" w:color="auto"/>
            <w:bottom w:val="none" w:sz="0" w:space="0" w:color="auto"/>
            <w:right w:val="none" w:sz="0" w:space="0" w:color="auto"/>
          </w:divBdr>
          <w:divsChild>
            <w:div w:id="1512256754">
              <w:marLeft w:val="0"/>
              <w:marRight w:val="0"/>
              <w:marTop w:val="0"/>
              <w:marBottom w:val="0"/>
              <w:divBdr>
                <w:top w:val="none" w:sz="0" w:space="0" w:color="auto"/>
                <w:left w:val="none" w:sz="0" w:space="0" w:color="auto"/>
                <w:bottom w:val="none" w:sz="0" w:space="0" w:color="auto"/>
                <w:right w:val="none" w:sz="0" w:space="0" w:color="auto"/>
              </w:divBdr>
              <w:divsChild>
                <w:div w:id="2078747163">
                  <w:marLeft w:val="0"/>
                  <w:marRight w:val="0"/>
                  <w:marTop w:val="0"/>
                  <w:marBottom w:val="0"/>
                  <w:divBdr>
                    <w:top w:val="none" w:sz="0" w:space="0" w:color="auto"/>
                    <w:left w:val="none" w:sz="0" w:space="0" w:color="auto"/>
                    <w:bottom w:val="none" w:sz="0" w:space="0" w:color="auto"/>
                    <w:right w:val="none" w:sz="0" w:space="0" w:color="auto"/>
                  </w:divBdr>
                  <w:divsChild>
                    <w:div w:id="225267260">
                      <w:marLeft w:val="0"/>
                      <w:marRight w:val="0"/>
                      <w:marTop w:val="0"/>
                      <w:marBottom w:val="0"/>
                      <w:divBdr>
                        <w:top w:val="none" w:sz="0" w:space="0" w:color="auto"/>
                        <w:left w:val="none" w:sz="0" w:space="0" w:color="auto"/>
                        <w:bottom w:val="none" w:sz="0" w:space="0" w:color="auto"/>
                        <w:right w:val="none" w:sz="0" w:space="0" w:color="auto"/>
                      </w:divBdr>
                    </w:div>
                    <w:div w:id="2016498573">
                      <w:marLeft w:val="0"/>
                      <w:marRight w:val="0"/>
                      <w:marTop w:val="0"/>
                      <w:marBottom w:val="0"/>
                      <w:divBdr>
                        <w:top w:val="none" w:sz="0" w:space="0" w:color="auto"/>
                        <w:left w:val="none" w:sz="0" w:space="0" w:color="auto"/>
                        <w:bottom w:val="none" w:sz="0" w:space="0" w:color="auto"/>
                        <w:right w:val="none" w:sz="0" w:space="0" w:color="auto"/>
                      </w:divBdr>
                    </w:div>
                    <w:div w:id="1833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www.peterlang.com/view/title/62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echastel.paris-sorbonne.fr/thesis/le-renouveau-de-lenseignement-artistique-en-allemagne-apres-la-seconde-guerre-mondia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2018-11-05T09:55:00Z</dcterms:created>
  <dcterms:modified xsi:type="dcterms:W3CDTF">2018-11-05T10:30:00Z</dcterms:modified>
</cp:coreProperties>
</file>