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C914B" w14:textId="59A92D6B" w:rsidR="6037D511" w:rsidRDefault="6037D511" w:rsidP="6037D511">
      <w:pPr>
        <w:pStyle w:val="cvgsua"/>
        <w:spacing w:before="0" w:beforeAutospacing="0" w:after="0" w:afterAutospacing="0"/>
        <w:jc w:val="both"/>
        <w:rPr>
          <w:rStyle w:val="agcmg"/>
          <w:rFonts w:ascii="Univers Condensed" w:hAnsi="Univers Condensed"/>
          <w:b/>
          <w:bCs/>
        </w:rPr>
      </w:pPr>
      <w:bookmarkStart w:id="0" w:name="_GoBack"/>
      <w:bookmarkEnd w:id="0"/>
    </w:p>
    <w:p w14:paraId="4B726CDE" w14:textId="7A92A448" w:rsidR="79775ACE" w:rsidRDefault="79775ACE" w:rsidP="6037D511">
      <w:pPr>
        <w:pStyle w:val="cvgsua"/>
        <w:spacing w:before="0" w:beforeAutospacing="0" w:after="0" w:afterAutospacing="0"/>
        <w:jc w:val="both"/>
        <w:rPr>
          <w:rStyle w:val="agcmg"/>
          <w:rFonts w:ascii="Univers Condensed" w:hAnsi="Univers Condensed"/>
          <w:b/>
          <w:bCs/>
          <w:caps/>
        </w:rPr>
      </w:pPr>
      <w:r w:rsidRPr="6037D511">
        <w:rPr>
          <w:rStyle w:val="agcmg"/>
          <w:rFonts w:ascii="Univers Condensed" w:hAnsi="Univers Condensed"/>
          <w:b/>
          <w:bCs/>
        </w:rPr>
        <w:t>COMMUNIQUÉ DE PRESSE</w:t>
      </w:r>
    </w:p>
    <w:p w14:paraId="2434BDBE" w14:textId="52A829BB" w:rsidR="5541A55A" w:rsidRDefault="5541A55A" w:rsidP="00A05D4F">
      <w:pPr>
        <w:pStyle w:val="cvgsua"/>
        <w:spacing w:before="0" w:beforeAutospacing="0" w:after="240" w:afterAutospacing="0"/>
        <w:jc w:val="center"/>
        <w:rPr>
          <w:rStyle w:val="agcmg"/>
          <w:rFonts w:ascii="Univers Condensed" w:hAnsi="Univers Condensed"/>
          <w:b/>
          <w:bCs/>
          <w:caps/>
        </w:rPr>
      </w:pPr>
    </w:p>
    <w:p w14:paraId="49546D8E" w14:textId="072AF82F" w:rsidR="00A05D4F" w:rsidRDefault="00F862C8" w:rsidP="00D9514D">
      <w:pPr>
        <w:pStyle w:val="cvgsua"/>
        <w:spacing w:before="0" w:beforeAutospacing="0" w:after="0" w:afterAutospacing="0"/>
        <w:jc w:val="center"/>
        <w:rPr>
          <w:rStyle w:val="agcmg"/>
          <w:rFonts w:ascii="Univers Condensed" w:hAnsi="Univers Condensed"/>
          <w:b/>
          <w:bCs/>
          <w:sz w:val="28"/>
          <w:szCs w:val="28"/>
        </w:rPr>
      </w:pPr>
      <w:r>
        <w:rPr>
          <w:rStyle w:val="agcmg"/>
          <w:rFonts w:ascii="Univers Condensed" w:hAnsi="Univers Condensed"/>
          <w:b/>
          <w:bCs/>
          <w:sz w:val="28"/>
          <w:szCs w:val="28"/>
        </w:rPr>
        <w:t>Lancement d’une nouvelle chaire UNESCO portée par l’Ecole du Louvre</w:t>
      </w:r>
    </w:p>
    <w:p w14:paraId="784C25BE" w14:textId="34445176" w:rsidR="5541A55A" w:rsidRDefault="007B1635" w:rsidP="00D9514D">
      <w:pPr>
        <w:pStyle w:val="cvgsua"/>
        <w:spacing w:before="0" w:beforeAutospacing="0" w:after="0" w:afterAutospacing="0"/>
        <w:jc w:val="center"/>
        <w:rPr>
          <w:rStyle w:val="agcmg"/>
          <w:rFonts w:ascii="Univers Condensed" w:hAnsi="Univers Condensed"/>
          <w:b/>
          <w:bCs/>
          <w:sz w:val="28"/>
          <w:szCs w:val="28"/>
        </w:rPr>
      </w:pPr>
      <w:r>
        <w:rPr>
          <w:rStyle w:val="agcmg"/>
          <w:rFonts w:ascii="Univers Condensed" w:hAnsi="Univers Condensed"/>
          <w:b/>
          <w:bCs/>
          <w:sz w:val="28"/>
          <w:szCs w:val="28"/>
        </w:rPr>
        <w:t>« B</w:t>
      </w:r>
      <w:r w:rsidR="79775ACE" w:rsidRPr="5541A55A">
        <w:rPr>
          <w:rStyle w:val="agcmg"/>
          <w:rFonts w:ascii="Univers Condensed" w:hAnsi="Univers Condensed"/>
          <w:b/>
          <w:bCs/>
          <w:sz w:val="28"/>
          <w:szCs w:val="28"/>
        </w:rPr>
        <w:t>iens sensibles</w:t>
      </w:r>
      <w:r w:rsidR="00A05D4F">
        <w:rPr>
          <w:rStyle w:val="agcmg"/>
          <w:rFonts w:ascii="Univers Condensed" w:hAnsi="Univers Condensed"/>
          <w:b/>
          <w:bCs/>
          <w:sz w:val="28"/>
          <w:szCs w:val="28"/>
        </w:rPr>
        <w:t xml:space="preserve">, </w:t>
      </w:r>
      <w:r w:rsidR="79775ACE" w:rsidRPr="024C2706">
        <w:rPr>
          <w:rStyle w:val="agcmg"/>
          <w:rFonts w:ascii="Univers Condensed" w:hAnsi="Univers Condensed"/>
          <w:b/>
          <w:bCs/>
          <w:sz w:val="28"/>
          <w:szCs w:val="28"/>
        </w:rPr>
        <w:t>recherche de provenances et enjeux internationaux</w:t>
      </w:r>
      <w:r>
        <w:rPr>
          <w:rStyle w:val="agcmg"/>
          <w:rFonts w:ascii="Univers Condensed" w:hAnsi="Univers Condensed"/>
          <w:b/>
          <w:bCs/>
          <w:sz w:val="28"/>
          <w:szCs w:val="28"/>
        </w:rPr>
        <w:t> »</w:t>
      </w:r>
      <w:r w:rsidR="79775ACE" w:rsidRPr="024C2706">
        <w:rPr>
          <w:rStyle w:val="agcmg"/>
          <w:rFonts w:ascii="Univers Condensed" w:hAnsi="Univers Condensed"/>
          <w:b/>
          <w:bCs/>
          <w:sz w:val="28"/>
          <w:szCs w:val="28"/>
        </w:rPr>
        <w:t>.</w:t>
      </w:r>
    </w:p>
    <w:p w14:paraId="0E8ACDC8" w14:textId="73C295F2" w:rsidR="024C2706" w:rsidRDefault="024C2706" w:rsidP="024C2706">
      <w:pPr>
        <w:pStyle w:val="cvgsua"/>
        <w:spacing w:before="0" w:beforeAutospacing="0" w:after="0" w:afterAutospacing="0"/>
        <w:rPr>
          <w:rStyle w:val="agcmg"/>
          <w:rFonts w:ascii="Univers Condensed" w:hAnsi="Univers Condensed"/>
          <w:b/>
          <w:bCs/>
        </w:rPr>
      </w:pPr>
    </w:p>
    <w:p w14:paraId="1A3C5CC4" w14:textId="06AF25A2" w:rsidR="79775ACE" w:rsidRDefault="51C882DB" w:rsidP="6037D511">
      <w:pPr>
        <w:pStyle w:val="cvgsua"/>
        <w:spacing w:before="0" w:beforeAutospacing="0" w:after="0" w:afterAutospacing="0"/>
        <w:rPr>
          <w:rStyle w:val="agcmg"/>
          <w:rFonts w:ascii="Univers Condensed" w:hAnsi="Univers Condensed"/>
          <w:caps/>
        </w:rPr>
      </w:pPr>
      <w:r>
        <w:rPr>
          <w:noProof/>
        </w:rPr>
        <w:drawing>
          <wp:inline distT="0" distB="0" distL="0" distR="0" wp14:anchorId="0B66C8EE" wp14:editId="3B7B963D">
            <wp:extent cx="5762625" cy="3829050"/>
            <wp:effectExtent l="0" t="0" r="0" b="0"/>
            <wp:docPr id="1715952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52949" name="Picture 1715952949"/>
                    <pic:cNvPicPr/>
                  </pic:nvPicPr>
                  <pic:blipFill>
                    <a:blip r:embed="rId9">
                      <a:extLst>
                        <a:ext uri="{28A0092B-C50C-407E-A947-70E740481C1C}">
                          <a14:useLocalDpi xmlns:a14="http://schemas.microsoft.com/office/drawing/2010/main"/>
                        </a:ext>
                      </a:extLst>
                    </a:blip>
                    <a:stretch>
                      <a:fillRect/>
                    </a:stretch>
                  </pic:blipFill>
                  <pic:spPr>
                    <a:xfrm>
                      <a:off x="0" y="0"/>
                      <a:ext cx="5762625" cy="3829050"/>
                    </a:xfrm>
                    <a:prstGeom prst="rect">
                      <a:avLst/>
                    </a:prstGeom>
                  </pic:spPr>
                </pic:pic>
              </a:graphicData>
            </a:graphic>
          </wp:inline>
        </w:drawing>
      </w:r>
      <w:r w:rsidRPr="6037D511">
        <w:rPr>
          <w:rStyle w:val="agcmg"/>
          <w:sz w:val="18"/>
          <w:szCs w:val="18"/>
        </w:rPr>
        <w:t xml:space="preserve">Participants à la </w:t>
      </w:r>
      <w:proofErr w:type="spellStart"/>
      <w:r w:rsidRPr="6037D511">
        <w:rPr>
          <w:rStyle w:val="agcmg"/>
          <w:sz w:val="18"/>
          <w:szCs w:val="18"/>
        </w:rPr>
        <w:t>Winterschool</w:t>
      </w:r>
      <w:proofErr w:type="spellEnd"/>
      <w:r w:rsidRPr="6037D511">
        <w:rPr>
          <w:rStyle w:val="agcmg"/>
          <w:sz w:val="18"/>
          <w:szCs w:val="18"/>
        </w:rPr>
        <w:t xml:space="preserve"> 2026, portant sur les biens sensibles, la recherche de provenances et les enjeux internationaux </w:t>
      </w:r>
      <w:r w:rsidR="79775ACE" w:rsidRPr="6037D511">
        <w:rPr>
          <w:rStyle w:val="agcmg"/>
          <w:sz w:val="18"/>
          <w:szCs w:val="18"/>
        </w:rPr>
        <w:t>© Stéphane Richard / École du Louvre</w:t>
      </w:r>
      <w:r w:rsidR="79775ACE" w:rsidRPr="6037D511">
        <w:rPr>
          <w:rStyle w:val="agcmg"/>
          <w:sz w:val="20"/>
          <w:szCs w:val="20"/>
        </w:rPr>
        <w:t xml:space="preserve"> </w:t>
      </w:r>
    </w:p>
    <w:p w14:paraId="11FEC13E" w14:textId="77777777" w:rsidR="5541A55A" w:rsidRDefault="5541A55A" w:rsidP="5541A55A">
      <w:pPr>
        <w:spacing w:after="240" w:line="240" w:lineRule="auto"/>
        <w:jc w:val="both"/>
        <w:rPr>
          <w:rStyle w:val="agcmg"/>
          <w:rFonts w:ascii="Times New Roman" w:hAnsi="Times New Roman" w:cs="Times New Roman"/>
          <w:sz w:val="24"/>
          <w:szCs w:val="24"/>
        </w:rPr>
      </w:pPr>
    </w:p>
    <w:p w14:paraId="0A8883D1" w14:textId="769A7C5B" w:rsidR="00AC43A4" w:rsidRDefault="79775ACE" w:rsidP="6037D511">
      <w:pPr>
        <w:spacing w:before="240" w:after="240" w:line="240" w:lineRule="auto"/>
        <w:jc w:val="both"/>
        <w:rPr>
          <w:rStyle w:val="agcmg"/>
          <w:rFonts w:ascii="Times New Roman" w:hAnsi="Times New Roman" w:cs="Times New Roman"/>
          <w:sz w:val="24"/>
          <w:szCs w:val="24"/>
        </w:rPr>
      </w:pPr>
      <w:r w:rsidRPr="6037D511">
        <w:rPr>
          <w:rStyle w:val="agcmg"/>
          <w:rFonts w:ascii="Times New Roman" w:hAnsi="Times New Roman" w:cs="Times New Roman"/>
          <w:sz w:val="24"/>
          <w:szCs w:val="24"/>
        </w:rPr>
        <w:t xml:space="preserve">Paris, le </w:t>
      </w:r>
      <w:r w:rsidR="1116322E" w:rsidRPr="6037D511">
        <w:rPr>
          <w:rStyle w:val="agcmg"/>
          <w:rFonts w:ascii="Times New Roman" w:hAnsi="Times New Roman" w:cs="Times New Roman"/>
          <w:sz w:val="24"/>
          <w:szCs w:val="24"/>
        </w:rPr>
        <w:t>2</w:t>
      </w:r>
      <w:r w:rsidR="6D7CB4B6" w:rsidRPr="6037D511">
        <w:rPr>
          <w:rStyle w:val="agcmg"/>
          <w:rFonts w:ascii="Times New Roman" w:hAnsi="Times New Roman" w:cs="Times New Roman"/>
          <w:sz w:val="24"/>
          <w:szCs w:val="24"/>
        </w:rPr>
        <w:t>5</w:t>
      </w:r>
      <w:r w:rsidRPr="6037D511">
        <w:rPr>
          <w:rStyle w:val="agcmg"/>
          <w:rFonts w:ascii="Times New Roman" w:hAnsi="Times New Roman" w:cs="Times New Roman"/>
          <w:sz w:val="24"/>
          <w:szCs w:val="24"/>
        </w:rPr>
        <w:t xml:space="preserve">/02/2026 – L’École du Louvre </w:t>
      </w:r>
      <w:r w:rsidR="00F862C8">
        <w:rPr>
          <w:rStyle w:val="agcmg"/>
          <w:rFonts w:ascii="Times New Roman" w:hAnsi="Times New Roman" w:cs="Times New Roman"/>
          <w:sz w:val="24"/>
          <w:szCs w:val="24"/>
        </w:rPr>
        <w:t xml:space="preserve">crée, en coopération avec l’Organisation des Nations unies pour l’éducation la science et la culture (UNESCO) une chaire </w:t>
      </w:r>
      <w:r w:rsidRPr="6037D511">
        <w:rPr>
          <w:rStyle w:val="agcmg"/>
          <w:rFonts w:ascii="Times New Roman" w:hAnsi="Times New Roman" w:cs="Times New Roman"/>
          <w:sz w:val="24"/>
          <w:szCs w:val="24"/>
        </w:rPr>
        <w:t>« Biens sensibles, recherche de provenances et enjeux internationaux »</w:t>
      </w:r>
      <w:r w:rsidR="007B1635">
        <w:rPr>
          <w:rStyle w:val="agcmg"/>
          <w:rFonts w:ascii="Times New Roman" w:hAnsi="Times New Roman" w:cs="Times New Roman"/>
          <w:sz w:val="24"/>
          <w:szCs w:val="24"/>
        </w:rPr>
        <w:t xml:space="preserve">. </w:t>
      </w:r>
      <w:r w:rsidRPr="6037D511">
        <w:rPr>
          <w:rStyle w:val="agcmg"/>
          <w:rFonts w:ascii="Times New Roman" w:hAnsi="Times New Roman" w:cs="Times New Roman"/>
          <w:sz w:val="24"/>
          <w:szCs w:val="24"/>
        </w:rPr>
        <w:t>Cette reconnaissance internationale inscrit durablement l’établissement au sein d’un dispositif académique et scientifique qui associe universités, institutions culturelles, décideurs publics et société civile afin de répondre aux défis contemporains liés au patrimoine.</w:t>
      </w:r>
      <w:r w:rsidR="00F862C8">
        <w:rPr>
          <w:rStyle w:val="agcmg"/>
          <w:rFonts w:ascii="Times New Roman" w:hAnsi="Times New Roman" w:cs="Times New Roman"/>
          <w:sz w:val="24"/>
          <w:szCs w:val="24"/>
        </w:rPr>
        <w:t xml:space="preserve"> Son lancement aura lieu lundi 22 juin 2026 à l’Ecole du Louvre.</w:t>
      </w:r>
    </w:p>
    <w:p w14:paraId="13A91BAE" w14:textId="7B5091B4" w:rsidR="00F862C8" w:rsidRDefault="00F862C8" w:rsidP="00F862C8">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chaire</w:t>
      </w:r>
      <w:r w:rsidRPr="6037D511">
        <w:rPr>
          <w:rFonts w:ascii="Times New Roman" w:eastAsia="Times New Roman" w:hAnsi="Times New Roman" w:cs="Times New Roman"/>
          <w:sz w:val="24"/>
          <w:szCs w:val="24"/>
        </w:rPr>
        <w:t xml:space="preserve"> répond à des enjeux devenus centraux pour les musées et le marché de l’art : </w:t>
      </w:r>
      <w:r>
        <w:rPr>
          <w:rFonts w:ascii="Times New Roman" w:eastAsia="Times New Roman" w:hAnsi="Times New Roman" w:cs="Times New Roman"/>
          <w:sz w:val="24"/>
          <w:szCs w:val="24"/>
        </w:rPr>
        <w:t>lutte contre le</w:t>
      </w:r>
      <w:r w:rsidRPr="6037D511">
        <w:rPr>
          <w:rFonts w:ascii="Times New Roman" w:eastAsia="Times New Roman" w:hAnsi="Times New Roman" w:cs="Times New Roman"/>
          <w:sz w:val="24"/>
          <w:szCs w:val="24"/>
        </w:rPr>
        <w:t xml:space="preserve"> trafic illicite, réévaluation des collections issues de contextes coloniaux, demandes de restitution et nécessité d’harmoniser les standards internationaux. Son objectif est de développer, dans une logique de coopération — notamment</w:t>
      </w:r>
      <w:r>
        <w:rPr>
          <w:rFonts w:ascii="Times New Roman" w:eastAsia="Times New Roman" w:hAnsi="Times New Roman" w:cs="Times New Roman"/>
          <w:sz w:val="24"/>
          <w:szCs w:val="24"/>
        </w:rPr>
        <w:t xml:space="preserve"> mais pas uniquement</w:t>
      </w:r>
      <w:r w:rsidRPr="6037D511">
        <w:rPr>
          <w:rFonts w:ascii="Times New Roman" w:eastAsia="Times New Roman" w:hAnsi="Times New Roman" w:cs="Times New Roman"/>
          <w:sz w:val="24"/>
          <w:szCs w:val="24"/>
        </w:rPr>
        <w:t xml:space="preserve"> entre l’Europe et l’Afrique — une méthodologie de</w:t>
      </w:r>
      <w:r>
        <w:rPr>
          <w:rFonts w:ascii="Times New Roman" w:eastAsia="Times New Roman" w:hAnsi="Times New Roman" w:cs="Times New Roman"/>
          <w:sz w:val="24"/>
          <w:szCs w:val="24"/>
        </w:rPr>
        <w:t xml:space="preserve"> recherche de</w:t>
      </w:r>
      <w:r w:rsidRPr="6037D511">
        <w:rPr>
          <w:rFonts w:ascii="Times New Roman" w:eastAsia="Times New Roman" w:hAnsi="Times New Roman" w:cs="Times New Roman"/>
          <w:sz w:val="24"/>
          <w:szCs w:val="24"/>
        </w:rPr>
        <w:t xml:space="preserve"> provenance partagée, intégrant les pays sources et soutenant la mise en œuvre des instruments normatifs internationaux. </w:t>
      </w:r>
    </w:p>
    <w:p w14:paraId="59978E31" w14:textId="77777777" w:rsidR="00F862C8" w:rsidRPr="00A05D4F" w:rsidRDefault="00F862C8" w:rsidP="00F862C8">
      <w:pPr>
        <w:spacing w:before="240" w:after="240"/>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L’objectif est de former </w:t>
      </w:r>
      <w:r w:rsidRPr="6037D511">
        <w:rPr>
          <w:rFonts w:ascii="Times New Roman" w:eastAsia="Times New Roman" w:hAnsi="Times New Roman" w:cs="Times New Roman"/>
          <w:sz w:val="24"/>
          <w:szCs w:val="24"/>
        </w:rPr>
        <w:t>une nouvelle génération de professionnels et de chercheurs maîtrisant les outils nécessaires pour encadrer les acquisitions, documenter les provenances, lutter contre le trafic illicite et accompagner les politiques de restitution.</w:t>
      </w:r>
      <w:r w:rsidRPr="6037D511">
        <w:rPr>
          <w:rStyle w:val="agcmg"/>
          <w:rFonts w:ascii="Times New Roman" w:hAnsi="Times New Roman" w:cs="Times New Roman"/>
          <w:sz w:val="24"/>
          <w:szCs w:val="24"/>
        </w:rPr>
        <w:t xml:space="preserve"> </w:t>
      </w:r>
    </w:p>
    <w:p w14:paraId="655A70D5" w14:textId="24C79918" w:rsidR="79775ACE" w:rsidRDefault="79775ACE" w:rsidP="00A05D4F">
      <w:pPr>
        <w:spacing w:before="240" w:after="240"/>
        <w:jc w:val="both"/>
        <w:rPr>
          <w:rFonts w:ascii="Times New Roman" w:eastAsia="Times New Roman" w:hAnsi="Times New Roman" w:cs="Times New Roman"/>
          <w:sz w:val="24"/>
          <w:szCs w:val="24"/>
        </w:rPr>
      </w:pPr>
      <w:r w:rsidRPr="6037D511">
        <w:rPr>
          <w:rFonts w:ascii="Times New Roman" w:eastAsia="Times New Roman" w:hAnsi="Times New Roman" w:cs="Times New Roman"/>
          <w:sz w:val="24"/>
          <w:szCs w:val="24"/>
        </w:rPr>
        <w:t xml:space="preserve">La </w:t>
      </w:r>
      <w:r w:rsidR="00F862C8">
        <w:rPr>
          <w:rFonts w:ascii="Times New Roman" w:eastAsia="Times New Roman" w:hAnsi="Times New Roman" w:cs="Times New Roman"/>
          <w:sz w:val="24"/>
          <w:szCs w:val="24"/>
        </w:rPr>
        <w:t>c</w:t>
      </w:r>
      <w:r w:rsidRPr="6037D511">
        <w:rPr>
          <w:rFonts w:ascii="Times New Roman" w:eastAsia="Times New Roman" w:hAnsi="Times New Roman" w:cs="Times New Roman"/>
          <w:sz w:val="24"/>
          <w:szCs w:val="24"/>
        </w:rPr>
        <w:t>haire</w:t>
      </w:r>
      <w:r w:rsidR="009D7C30">
        <w:rPr>
          <w:rFonts w:ascii="Times New Roman" w:eastAsia="Times New Roman" w:hAnsi="Times New Roman" w:cs="Times New Roman"/>
          <w:sz w:val="24"/>
          <w:szCs w:val="24"/>
        </w:rPr>
        <w:t xml:space="preserve"> a été</w:t>
      </w:r>
      <w:r w:rsidR="007B1635">
        <w:rPr>
          <w:rFonts w:ascii="Times New Roman" w:eastAsia="Times New Roman" w:hAnsi="Times New Roman" w:cs="Times New Roman"/>
          <w:sz w:val="24"/>
          <w:szCs w:val="24"/>
        </w:rPr>
        <w:t xml:space="preserve"> </w:t>
      </w:r>
      <w:r w:rsidR="009D7C30">
        <w:rPr>
          <w:rFonts w:ascii="Times New Roman" w:eastAsia="Times New Roman" w:hAnsi="Times New Roman" w:cs="Times New Roman"/>
          <w:sz w:val="24"/>
          <w:szCs w:val="24"/>
        </w:rPr>
        <w:t>préfigurée</w:t>
      </w:r>
      <w:r w:rsidR="007B1635">
        <w:rPr>
          <w:rFonts w:ascii="Times New Roman" w:eastAsia="Times New Roman" w:hAnsi="Times New Roman" w:cs="Times New Roman"/>
          <w:sz w:val="24"/>
          <w:szCs w:val="24"/>
        </w:rPr>
        <w:t xml:space="preserve"> par la création, dès 2023, d’un parcours de Master dédié et, en 2025, d’un axe « recherche de provenances » au sein du Centre de recherche de l’Ecole du Louvre</w:t>
      </w:r>
      <w:r w:rsidR="009D7C30">
        <w:rPr>
          <w:rFonts w:ascii="Times New Roman" w:eastAsia="Times New Roman" w:hAnsi="Times New Roman" w:cs="Times New Roman"/>
          <w:sz w:val="24"/>
          <w:szCs w:val="24"/>
        </w:rPr>
        <w:t xml:space="preserve">. </w:t>
      </w:r>
      <w:r w:rsidR="00AC43A4">
        <w:rPr>
          <w:rFonts w:ascii="Times New Roman" w:eastAsia="Times New Roman" w:hAnsi="Times New Roman" w:cs="Times New Roman"/>
          <w:sz w:val="24"/>
          <w:szCs w:val="24"/>
        </w:rPr>
        <w:t xml:space="preserve">Elle </w:t>
      </w:r>
      <w:r w:rsidR="00AC43A4" w:rsidRPr="6037D511">
        <w:rPr>
          <w:rFonts w:ascii="Times New Roman" w:eastAsia="Times New Roman" w:hAnsi="Times New Roman" w:cs="Times New Roman"/>
          <w:sz w:val="24"/>
          <w:szCs w:val="24"/>
        </w:rPr>
        <w:t>articule formation, recherche et pratique professionnelle : mise en réseau d’experts, ressources en accès libre, projets collaboratifs et programmes intensifs.</w:t>
      </w:r>
      <w:r w:rsidR="000C770E">
        <w:rPr>
          <w:rFonts w:ascii="Times New Roman" w:eastAsia="Times New Roman" w:hAnsi="Times New Roman" w:cs="Times New Roman"/>
          <w:sz w:val="24"/>
          <w:szCs w:val="24"/>
        </w:rPr>
        <w:t xml:space="preserve"> </w:t>
      </w:r>
    </w:p>
    <w:p w14:paraId="444F2F26" w14:textId="7D9258ED" w:rsidR="000C770E" w:rsidRPr="00A05D4F" w:rsidRDefault="000C770E" w:rsidP="00A05D4F">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partenaires de la Chaire sont : l’Ecole du patrimoine africain</w:t>
      </w:r>
      <w:r w:rsidR="00D9514D">
        <w:rPr>
          <w:rFonts w:ascii="Times New Roman" w:eastAsia="Times New Roman" w:hAnsi="Times New Roman" w:cs="Times New Roman"/>
          <w:sz w:val="24"/>
          <w:szCs w:val="24"/>
        </w:rPr>
        <w:t> ; Porto-Novo,</w:t>
      </w:r>
      <w:r>
        <w:rPr>
          <w:rFonts w:ascii="Times New Roman" w:eastAsia="Times New Roman" w:hAnsi="Times New Roman" w:cs="Times New Roman"/>
          <w:sz w:val="24"/>
          <w:szCs w:val="24"/>
        </w:rPr>
        <w:t xml:space="preserve"> (Bénin), l’</w:t>
      </w:r>
      <w:proofErr w:type="spellStart"/>
      <w:r>
        <w:rPr>
          <w:rFonts w:ascii="Times New Roman" w:eastAsia="Times New Roman" w:hAnsi="Times New Roman" w:cs="Times New Roman"/>
          <w:sz w:val="24"/>
          <w:szCs w:val="24"/>
        </w:rPr>
        <w:t>Istituto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Artes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Universidade</w:t>
      </w:r>
      <w:proofErr w:type="spellEnd"/>
      <w:r>
        <w:rPr>
          <w:rFonts w:ascii="Times New Roman" w:eastAsia="Times New Roman" w:hAnsi="Times New Roman" w:cs="Times New Roman"/>
          <w:sz w:val="24"/>
          <w:szCs w:val="24"/>
        </w:rPr>
        <w:t xml:space="preserve"> de Campinas, Sao Paulo (Brésil), </w:t>
      </w:r>
      <w:r w:rsidR="00D9514D">
        <w:rPr>
          <w:rFonts w:ascii="Times New Roman" w:eastAsia="Times New Roman" w:hAnsi="Times New Roman" w:cs="Times New Roman"/>
          <w:sz w:val="24"/>
          <w:szCs w:val="24"/>
        </w:rPr>
        <w:t>Centre Marc Bloch, Berlin (Allemagne), Musée des civilisations, Abidjan, (Côte d’Ivoire), Ecole française d’Athènes (Grèce), Service des musées de France, Direction générale des patrimoines et de l’architecture, Institut national d’histoire de l’art, Paris (France).</w:t>
      </w:r>
    </w:p>
    <w:p w14:paraId="2849E7E8" w14:textId="5CF2A7F1" w:rsidR="6037D511" w:rsidRDefault="00AC43A4" w:rsidP="00AC43A4">
      <w:pPr>
        <w:spacing w:after="240" w:line="240" w:lineRule="auto"/>
        <w:jc w:val="both"/>
        <w:rPr>
          <w:rStyle w:val="agcmg"/>
          <w:rFonts w:ascii="Times New Roman" w:hAnsi="Times New Roman" w:cs="Times New Roman"/>
          <w:b/>
          <w:bCs/>
          <w:i/>
          <w:iCs/>
          <w:sz w:val="24"/>
          <w:szCs w:val="24"/>
        </w:rPr>
      </w:pPr>
      <w:r w:rsidRPr="00A05D4F">
        <w:rPr>
          <w:rStyle w:val="agcmg"/>
          <w:rFonts w:ascii="Times New Roman" w:hAnsi="Times New Roman" w:cs="Times New Roman"/>
          <w:b/>
          <w:bCs/>
          <w:sz w:val="24"/>
          <w:szCs w:val="24"/>
        </w:rPr>
        <w:t>« La Chaire</w:t>
      </w:r>
      <w:r w:rsidRPr="00A05D4F">
        <w:rPr>
          <w:rFonts w:ascii="Times New Roman" w:eastAsia="Times New Roman" w:hAnsi="Times New Roman" w:cs="Times New Roman"/>
          <w:b/>
          <w:bCs/>
          <w:sz w:val="24"/>
          <w:szCs w:val="24"/>
        </w:rPr>
        <w:t xml:space="preserve"> vise à enrichir l’histoire de l’art</w:t>
      </w:r>
      <w:r w:rsidR="00134494">
        <w:rPr>
          <w:rFonts w:ascii="Times New Roman" w:eastAsia="Times New Roman" w:hAnsi="Times New Roman" w:cs="Times New Roman"/>
          <w:b/>
          <w:bCs/>
          <w:sz w:val="24"/>
          <w:szCs w:val="24"/>
        </w:rPr>
        <w:t xml:space="preserve"> et l’archéologie</w:t>
      </w:r>
      <w:r w:rsidRPr="00A05D4F">
        <w:rPr>
          <w:rFonts w:ascii="Times New Roman" w:eastAsia="Times New Roman" w:hAnsi="Times New Roman" w:cs="Times New Roman"/>
          <w:b/>
          <w:bCs/>
          <w:sz w:val="24"/>
          <w:szCs w:val="24"/>
        </w:rPr>
        <w:t xml:space="preserve"> par </w:t>
      </w:r>
      <w:r w:rsidR="00A05D4F">
        <w:rPr>
          <w:rFonts w:ascii="Times New Roman" w:eastAsia="Times New Roman" w:hAnsi="Times New Roman" w:cs="Times New Roman"/>
          <w:b/>
          <w:bCs/>
          <w:sz w:val="24"/>
          <w:szCs w:val="24"/>
        </w:rPr>
        <w:t>l</w:t>
      </w:r>
      <w:r w:rsidRPr="00A05D4F">
        <w:rPr>
          <w:rFonts w:ascii="Times New Roman" w:eastAsia="Times New Roman" w:hAnsi="Times New Roman" w:cs="Times New Roman"/>
          <w:b/>
          <w:bCs/>
          <w:sz w:val="24"/>
          <w:szCs w:val="24"/>
        </w:rPr>
        <w:t>es méthodes</w:t>
      </w:r>
      <w:r w:rsidR="00A05D4F">
        <w:rPr>
          <w:rFonts w:ascii="Times New Roman" w:eastAsia="Times New Roman" w:hAnsi="Times New Roman" w:cs="Times New Roman"/>
          <w:b/>
          <w:bCs/>
          <w:sz w:val="24"/>
          <w:szCs w:val="24"/>
        </w:rPr>
        <w:t xml:space="preserve"> et les perspectives</w:t>
      </w:r>
      <w:r w:rsidRPr="00A05D4F">
        <w:rPr>
          <w:rFonts w:ascii="Times New Roman" w:eastAsia="Times New Roman" w:hAnsi="Times New Roman" w:cs="Times New Roman"/>
          <w:b/>
          <w:bCs/>
          <w:sz w:val="24"/>
          <w:szCs w:val="24"/>
        </w:rPr>
        <w:t xml:space="preserve"> nouvelles qu</w:t>
      </w:r>
      <w:r w:rsidR="00A05D4F">
        <w:rPr>
          <w:rFonts w:ascii="Times New Roman" w:eastAsia="Times New Roman" w:hAnsi="Times New Roman" w:cs="Times New Roman"/>
          <w:b/>
          <w:bCs/>
          <w:sz w:val="24"/>
          <w:szCs w:val="24"/>
        </w:rPr>
        <w:t>e permet</w:t>
      </w:r>
      <w:r w:rsidRPr="00A05D4F">
        <w:rPr>
          <w:rFonts w:ascii="Times New Roman" w:eastAsia="Times New Roman" w:hAnsi="Times New Roman" w:cs="Times New Roman"/>
          <w:b/>
          <w:bCs/>
          <w:sz w:val="24"/>
          <w:szCs w:val="24"/>
        </w:rPr>
        <w:t xml:space="preserve"> la recherche de provenance</w:t>
      </w:r>
      <w:r w:rsidR="00F862C8">
        <w:rPr>
          <w:rFonts w:ascii="Times New Roman" w:eastAsia="Times New Roman" w:hAnsi="Times New Roman" w:cs="Times New Roman"/>
          <w:b/>
          <w:bCs/>
          <w:sz w:val="24"/>
          <w:szCs w:val="24"/>
        </w:rPr>
        <w:t>s</w:t>
      </w:r>
      <w:r w:rsidR="00A05D4F" w:rsidRPr="00A05D4F">
        <w:rPr>
          <w:rFonts w:ascii="Times New Roman" w:eastAsia="Times New Roman" w:hAnsi="Times New Roman" w:cs="Times New Roman"/>
          <w:b/>
          <w:bCs/>
          <w:sz w:val="24"/>
          <w:szCs w:val="24"/>
        </w:rPr>
        <w:t xml:space="preserve">, </w:t>
      </w:r>
      <w:r w:rsidR="00A05D4F">
        <w:rPr>
          <w:rFonts w:ascii="Times New Roman" w:eastAsia="Times New Roman" w:hAnsi="Times New Roman" w:cs="Times New Roman"/>
          <w:b/>
          <w:bCs/>
          <w:sz w:val="24"/>
          <w:szCs w:val="24"/>
        </w:rPr>
        <w:t>à</w:t>
      </w:r>
      <w:r w:rsidR="00A05D4F" w:rsidRPr="00A05D4F">
        <w:rPr>
          <w:rFonts w:ascii="Times New Roman" w:eastAsia="Times New Roman" w:hAnsi="Times New Roman" w:cs="Times New Roman"/>
          <w:b/>
          <w:bCs/>
          <w:sz w:val="24"/>
          <w:szCs w:val="24"/>
        </w:rPr>
        <w:t xml:space="preserve"> mieux structurer les pratiques liées à la circulation des biens culturels</w:t>
      </w:r>
      <w:r w:rsidR="00A05D4F">
        <w:rPr>
          <w:rFonts w:ascii="Times New Roman" w:eastAsia="Times New Roman" w:hAnsi="Times New Roman" w:cs="Times New Roman"/>
          <w:b/>
          <w:bCs/>
          <w:sz w:val="24"/>
          <w:szCs w:val="24"/>
        </w:rPr>
        <w:t xml:space="preserve"> et à</w:t>
      </w:r>
      <w:r w:rsidRPr="00A05D4F">
        <w:rPr>
          <w:rFonts w:ascii="Times New Roman" w:eastAsia="Times New Roman" w:hAnsi="Times New Roman" w:cs="Times New Roman"/>
          <w:b/>
          <w:bCs/>
          <w:sz w:val="24"/>
          <w:szCs w:val="24"/>
        </w:rPr>
        <w:t xml:space="preserve"> contribuer</w:t>
      </w:r>
      <w:r w:rsidR="00A05D4F">
        <w:rPr>
          <w:rFonts w:ascii="Times New Roman" w:eastAsia="Times New Roman" w:hAnsi="Times New Roman" w:cs="Times New Roman"/>
          <w:b/>
          <w:bCs/>
          <w:sz w:val="24"/>
          <w:szCs w:val="24"/>
        </w:rPr>
        <w:t xml:space="preserve"> à la réflexion sur les</w:t>
      </w:r>
      <w:r w:rsidRPr="00A05D4F">
        <w:rPr>
          <w:rFonts w:ascii="Times New Roman" w:eastAsia="Times New Roman" w:hAnsi="Times New Roman" w:cs="Times New Roman"/>
          <w:b/>
          <w:bCs/>
          <w:sz w:val="24"/>
          <w:szCs w:val="24"/>
        </w:rPr>
        <w:t xml:space="preserve"> cadres éthiques et juridiques qui les encadrent. »</w:t>
      </w:r>
      <w:r w:rsidR="00A05D4F" w:rsidRPr="00A05D4F">
        <w:rPr>
          <w:rStyle w:val="agcmg"/>
          <w:rFonts w:ascii="Times New Roman" w:hAnsi="Times New Roman" w:cs="Times New Roman"/>
          <w:b/>
          <w:bCs/>
          <w:sz w:val="24"/>
          <w:szCs w:val="24"/>
        </w:rPr>
        <w:t xml:space="preserve"> </w:t>
      </w:r>
      <w:r w:rsidR="00A05D4F" w:rsidRPr="00A05D4F">
        <w:rPr>
          <w:rStyle w:val="agcmg"/>
          <w:rFonts w:ascii="Times New Roman" w:hAnsi="Times New Roman" w:cs="Times New Roman"/>
          <w:b/>
          <w:bCs/>
          <w:i/>
          <w:iCs/>
          <w:sz w:val="24"/>
          <w:szCs w:val="24"/>
        </w:rPr>
        <w:t>Claire Barbillon, directrice de l’École du Louvre.</w:t>
      </w:r>
    </w:p>
    <w:p w14:paraId="56E7759C" w14:textId="77777777" w:rsidR="00D9514D" w:rsidRDefault="007E648A" w:rsidP="007E648A">
      <w:pPr>
        <w:spacing w:after="240" w:line="240" w:lineRule="auto"/>
        <w:rPr>
          <w:rFonts w:ascii="Times New Roman" w:hAnsi="Times New Roman" w:cs="Times New Roman"/>
          <w:sz w:val="28"/>
          <w:szCs w:val="28"/>
        </w:rPr>
      </w:pPr>
      <w:r w:rsidRPr="007E648A">
        <w:rPr>
          <w:rFonts w:ascii="Times New Roman" w:hAnsi="Times New Roman" w:cs="Times New Roman"/>
          <w:color w:val="EE0000"/>
          <w:sz w:val="24"/>
          <w:szCs w:val="24"/>
        </w:rPr>
        <w:br/>
      </w:r>
      <w:r w:rsidRPr="007E648A">
        <w:rPr>
          <w:rFonts w:ascii="Times New Roman" w:hAnsi="Times New Roman" w:cs="Times New Roman"/>
          <w:sz w:val="28"/>
          <w:szCs w:val="28"/>
        </w:rPr>
        <w:t>Colloque de lancement de la chaire</w:t>
      </w:r>
    </w:p>
    <w:p w14:paraId="303282E0" w14:textId="7760C80C" w:rsidR="007E648A" w:rsidRPr="00D9514D" w:rsidRDefault="007E648A" w:rsidP="007E648A">
      <w:pPr>
        <w:spacing w:after="240" w:line="240" w:lineRule="auto"/>
        <w:rPr>
          <w:rFonts w:ascii="Times New Roman" w:hAnsi="Times New Roman" w:cs="Times New Roman"/>
          <w:sz w:val="28"/>
          <w:szCs w:val="28"/>
        </w:rPr>
      </w:pPr>
      <w:r w:rsidRPr="007E648A">
        <w:rPr>
          <w:rFonts w:ascii="Times New Roman" w:hAnsi="Times New Roman" w:cs="Times New Roman"/>
          <w:sz w:val="24"/>
          <w:szCs w:val="24"/>
        </w:rPr>
        <w:t>Le premier colloque organisé par la chaire Unesco de l’École du Louvre « Pour une histoire globale de la recherche de provenances – Dimensions historique, méthodologique, juridique, politique et philosophique » se propose de porter un regard rétrospectif sur les conditions d’émergence de la recherche de provenances et sur les raisons de son caractère incontournable aujourd’hui, tant dans la gestion des collections muséales et la recherche en histoire de l’art et de l’archéologie, que dans les relations internationales.</w:t>
      </w:r>
    </w:p>
    <w:p w14:paraId="39B51EEE" w14:textId="0897C841" w:rsidR="00134494" w:rsidRPr="00D9514D" w:rsidRDefault="007E648A" w:rsidP="00D9514D">
      <w:pPr>
        <w:spacing w:after="240" w:line="240" w:lineRule="auto"/>
        <w:rPr>
          <w:rStyle w:val="agcmg"/>
          <w:rFonts w:ascii="Times New Roman" w:hAnsi="Times New Roman" w:cs="Times New Roman"/>
          <w:sz w:val="24"/>
          <w:szCs w:val="24"/>
        </w:rPr>
      </w:pPr>
      <w:r w:rsidRPr="007E648A">
        <w:rPr>
          <w:rFonts w:ascii="Times New Roman" w:hAnsi="Times New Roman" w:cs="Times New Roman"/>
          <w:sz w:val="24"/>
          <w:szCs w:val="24"/>
        </w:rPr>
        <w:t xml:space="preserve">Il </w:t>
      </w:r>
      <w:r>
        <w:rPr>
          <w:rFonts w:ascii="Times New Roman" w:hAnsi="Times New Roman" w:cs="Times New Roman"/>
          <w:sz w:val="24"/>
          <w:szCs w:val="24"/>
        </w:rPr>
        <w:t>se tiendra</w:t>
      </w:r>
      <w:r w:rsidRPr="007E648A">
        <w:rPr>
          <w:rFonts w:ascii="Times New Roman" w:hAnsi="Times New Roman" w:cs="Times New Roman"/>
          <w:sz w:val="24"/>
          <w:szCs w:val="24"/>
        </w:rPr>
        <w:t xml:space="preserve"> à l’Ecole du Louvre les 22 et 23 juin 2026.</w:t>
      </w:r>
    </w:p>
    <w:p w14:paraId="13CEC038" w14:textId="2A71D23A" w:rsidR="79775ACE" w:rsidRDefault="79775ACE" w:rsidP="5541A55A">
      <w:pPr>
        <w:pStyle w:val="cvgsua"/>
        <w:spacing w:before="0" w:beforeAutospacing="0" w:after="240" w:afterAutospacing="0"/>
        <w:jc w:val="both"/>
        <w:rPr>
          <w:rFonts w:ascii="Univers Condensed" w:hAnsi="Univers Condensed"/>
          <w:b/>
          <w:bCs/>
          <w:sz w:val="22"/>
          <w:szCs w:val="22"/>
        </w:rPr>
      </w:pPr>
      <w:r w:rsidRPr="5541A55A">
        <w:rPr>
          <w:rFonts w:ascii="Univers Condensed" w:hAnsi="Univers Condensed"/>
          <w:b/>
          <w:bCs/>
          <w:sz w:val="22"/>
          <w:szCs w:val="22"/>
        </w:rPr>
        <w:t>À PROPOS DE L’ÉCOLE DU LOUVRE</w:t>
      </w:r>
    </w:p>
    <w:p w14:paraId="2BB72655" w14:textId="01EDB8DB" w:rsidR="79775ACE" w:rsidRPr="00D9514D" w:rsidRDefault="007E648A" w:rsidP="00D9514D">
      <w:pPr>
        <w:pStyle w:val="cvgsua"/>
        <w:spacing w:after="240"/>
        <w:jc w:val="both"/>
        <w:rPr>
          <w:rStyle w:val="agcmg"/>
          <w:rFonts w:ascii="Univers Condensed" w:hAnsi="Univers Condensed"/>
        </w:rPr>
      </w:pPr>
      <w:r w:rsidRPr="007E648A">
        <w:rPr>
          <w:rFonts w:ascii="Univers Condensed" w:hAnsi="Univers Condensed"/>
        </w:rPr>
        <w:t>Fondée en 1882, l’École du Louvre est un établissement public d’enseignement supérieur et de recherche du ministère de la Culture, qui dispense des cours d’histoire de l’art, de muséologie et d'archéologie, complétés par des enseignements d'épigraphie et d'anthropologie. Situé au cœur du Palais du Louvre, elle forme chaque année des centaines d’étudiants aux métiers de la culture et du patrimoine par une pédagogie singulière fondée sur le regard et l'approche concrète de l’œuvre, mise dans son contexte de création. Elle ouvre ses cours à des auditeurs libres et favorise une politique d’accessibilité à tous.</w:t>
      </w:r>
      <w:r w:rsidR="00D9514D">
        <w:rPr>
          <w:rFonts w:ascii="Univers Condensed" w:hAnsi="Univers Condensed"/>
        </w:rPr>
        <w:t xml:space="preserve"> </w:t>
      </w:r>
      <w:hyperlink r:id="rId10" w:history="1">
        <w:r w:rsidR="00D9514D" w:rsidRPr="00BD0C33">
          <w:rPr>
            <w:rStyle w:val="Lienhypertexte"/>
            <w:sz w:val="22"/>
            <w:szCs w:val="22"/>
          </w:rPr>
          <w:t>https://www.ecoledulouvre.fr/fr/formations-etudiantes/deuxieme-cycle-master/master-2</w:t>
        </w:r>
      </w:hyperlink>
      <w:r w:rsidR="79775ACE" w:rsidRPr="5541A55A">
        <w:rPr>
          <w:rStyle w:val="agcmg"/>
          <w:sz w:val="22"/>
          <w:szCs w:val="22"/>
        </w:rPr>
        <w:t xml:space="preserve"> </w:t>
      </w:r>
    </w:p>
    <w:p w14:paraId="20161E68" w14:textId="0BD60B37" w:rsidR="79775ACE" w:rsidRDefault="79775ACE" w:rsidP="5541A55A">
      <w:pPr>
        <w:pStyle w:val="cvgsua"/>
        <w:spacing w:before="0" w:beforeAutospacing="0" w:after="240" w:afterAutospacing="0"/>
        <w:jc w:val="both"/>
        <w:rPr>
          <w:rStyle w:val="agcmg"/>
          <w:rFonts w:ascii="Univers Condensed" w:hAnsi="Univers Condensed"/>
          <w:b/>
          <w:bCs/>
          <w:sz w:val="22"/>
          <w:szCs w:val="22"/>
        </w:rPr>
      </w:pPr>
      <w:r w:rsidRPr="6037D511">
        <w:rPr>
          <w:rStyle w:val="agcmg"/>
          <w:rFonts w:ascii="Univers Condensed" w:hAnsi="Univers Condensed"/>
          <w:b/>
          <w:bCs/>
          <w:sz w:val="22"/>
          <w:szCs w:val="22"/>
        </w:rPr>
        <w:t>CONTACT PRESSE</w:t>
      </w:r>
    </w:p>
    <w:p w14:paraId="1275B67D" w14:textId="555B7149" w:rsidR="79775ACE" w:rsidRDefault="79775ACE" w:rsidP="5541A55A">
      <w:pPr>
        <w:pStyle w:val="cvgsua"/>
        <w:spacing w:before="0" w:beforeAutospacing="0" w:after="0" w:afterAutospacing="0"/>
        <w:jc w:val="both"/>
        <w:rPr>
          <w:sz w:val="22"/>
          <w:szCs w:val="22"/>
        </w:rPr>
      </w:pPr>
      <w:r w:rsidRPr="5541A55A">
        <w:rPr>
          <w:sz w:val="22"/>
          <w:szCs w:val="22"/>
        </w:rPr>
        <w:t xml:space="preserve">Noémie Husson – </w:t>
      </w:r>
      <w:hyperlink r:id="rId11">
        <w:r w:rsidRPr="5541A55A">
          <w:rPr>
            <w:rStyle w:val="Lienhypertexte"/>
            <w:sz w:val="22"/>
            <w:szCs w:val="22"/>
          </w:rPr>
          <w:t>noemie.husson@ecoledulouvre.fr</w:t>
        </w:r>
      </w:hyperlink>
      <w:r w:rsidRPr="5541A55A">
        <w:rPr>
          <w:sz w:val="22"/>
          <w:szCs w:val="22"/>
        </w:rPr>
        <w:t xml:space="preserve"> – 01 55 35 18 30</w:t>
      </w:r>
    </w:p>
    <w:p w14:paraId="6FD5AD2A" w14:textId="44147BBD" w:rsidR="5541A55A" w:rsidRDefault="5541A55A" w:rsidP="5541A55A">
      <w:pPr>
        <w:pStyle w:val="cvgsua"/>
        <w:spacing w:before="0" w:beforeAutospacing="0" w:after="0" w:afterAutospacing="0"/>
        <w:jc w:val="both"/>
        <w:rPr>
          <w:sz w:val="22"/>
          <w:szCs w:val="22"/>
        </w:rPr>
      </w:pPr>
    </w:p>
    <w:sectPr w:rsidR="5541A55A" w:rsidSect="007121DE">
      <w:headerReference w:type="default"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C05C61" w14:textId="77777777" w:rsidR="00CC3CFA" w:rsidRDefault="00CC3CFA" w:rsidP="007121DE">
      <w:pPr>
        <w:spacing w:after="0" w:line="240" w:lineRule="auto"/>
      </w:pPr>
      <w:r>
        <w:separator/>
      </w:r>
    </w:p>
  </w:endnote>
  <w:endnote w:type="continuationSeparator" w:id="0">
    <w:p w14:paraId="120CF186" w14:textId="77777777" w:rsidR="00CC3CFA" w:rsidRDefault="00CC3CFA" w:rsidP="0071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Condensed">
    <w:altName w:val="Univers Condensed"/>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020"/>
      <w:gridCol w:w="3020"/>
      <w:gridCol w:w="3020"/>
    </w:tblGrid>
    <w:tr w:rsidR="6037D511" w14:paraId="349B4926" w14:textId="77777777" w:rsidTr="6037D511">
      <w:trPr>
        <w:trHeight w:val="300"/>
      </w:trPr>
      <w:tc>
        <w:tcPr>
          <w:tcW w:w="3020" w:type="dxa"/>
        </w:tcPr>
        <w:p w14:paraId="750329EE" w14:textId="25FDF8F1" w:rsidR="6037D511" w:rsidRDefault="6037D511" w:rsidP="6037D511">
          <w:pPr>
            <w:pStyle w:val="En-tte"/>
            <w:ind w:left="-115"/>
          </w:pPr>
        </w:p>
      </w:tc>
      <w:tc>
        <w:tcPr>
          <w:tcW w:w="3020" w:type="dxa"/>
        </w:tcPr>
        <w:p w14:paraId="051D72C7" w14:textId="375AE10A" w:rsidR="6037D511" w:rsidRDefault="6037D511" w:rsidP="6037D511">
          <w:pPr>
            <w:pStyle w:val="En-tte"/>
            <w:jc w:val="center"/>
          </w:pPr>
        </w:p>
      </w:tc>
      <w:tc>
        <w:tcPr>
          <w:tcW w:w="3020" w:type="dxa"/>
        </w:tcPr>
        <w:p w14:paraId="18D69840" w14:textId="24137A88" w:rsidR="6037D511" w:rsidRDefault="6037D511" w:rsidP="6037D511">
          <w:pPr>
            <w:pStyle w:val="En-tte"/>
            <w:ind w:right="-115"/>
            <w:jc w:val="right"/>
          </w:pPr>
        </w:p>
      </w:tc>
    </w:tr>
  </w:tbl>
  <w:p w14:paraId="06504EAA" w14:textId="61080937" w:rsidR="6037D511" w:rsidRDefault="6037D511" w:rsidP="6037D51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4F703" w14:textId="763BBBA3" w:rsidR="6037D511" w:rsidRDefault="6037D511" w:rsidP="6037D5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425DF" w14:textId="77777777" w:rsidR="00CC3CFA" w:rsidRDefault="00CC3CFA" w:rsidP="007121DE">
      <w:pPr>
        <w:spacing w:after="0" w:line="240" w:lineRule="auto"/>
      </w:pPr>
      <w:r>
        <w:separator/>
      </w:r>
    </w:p>
  </w:footnote>
  <w:footnote w:type="continuationSeparator" w:id="0">
    <w:p w14:paraId="6ED9D447" w14:textId="77777777" w:rsidR="00CC3CFA" w:rsidRDefault="00CC3CFA" w:rsidP="00712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BCE6F" w14:textId="0BA797D0" w:rsidR="6037D511" w:rsidRDefault="6037D511" w:rsidP="6037D511">
    <w:pPr>
      <w:pStyle w:val="En-tte"/>
      <w:ind w:left="708" w:firstLine="708"/>
    </w:pPr>
    <w:r>
      <w:rPr>
        <w:noProof/>
      </w:rPr>
      <w:drawing>
        <wp:inline distT="0" distB="0" distL="0" distR="0" wp14:anchorId="3DA1F45D" wp14:editId="46C8474A">
          <wp:extent cx="1339215" cy="462915"/>
          <wp:effectExtent l="0" t="0" r="0" b="0"/>
          <wp:docPr id="1829475290" name="Image 1" descr="Une image contenant texte, Police, blanc,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blanc, Graphique&#10;&#10;Description générée automatiquemen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294" r="8354"/>
                  <a:stretch/>
                </pic:blipFill>
                <pic:spPr bwMode="auto">
                  <a:xfrm>
                    <a:off x="0" y="0"/>
                    <a:ext cx="1339215" cy="46291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2DDBB3F" wp14:editId="74DA443C">
          <wp:extent cx="633095" cy="463550"/>
          <wp:effectExtent l="0" t="0" r="0" b="0"/>
          <wp:docPr id="1209108806" name="Image 6"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Police, logo, Graphique&#10;&#10;Description générée automatiquement"/>
                  <pic:cNvPicPr/>
                </pic:nvPicPr>
                <pic:blipFill>
                  <a:blip r:embed="rId2" cstate="print">
                    <a:extLst>
                      <a:ext uri="{28A0092B-C50C-407E-A947-70E740481C1C}">
                        <a14:useLocalDpi xmlns:a14="http://schemas.microsoft.com/office/drawing/2010/main" val="0"/>
                      </a:ext>
                    </a:extLst>
                  </a:blip>
                  <a:stretch>
                    <a:fillRect/>
                  </a:stretch>
                </pic:blipFill>
                <pic:spPr>
                  <a:xfrm>
                    <a:off x="0" y="0"/>
                    <a:ext cx="633095" cy="463550"/>
                  </a:xfrm>
                  <a:prstGeom prst="rect">
                    <a:avLst/>
                  </a:prstGeom>
                </pic:spPr>
              </pic:pic>
            </a:graphicData>
          </a:graphic>
        </wp:inline>
      </w:drawing>
    </w:r>
  </w:p>
  <w:p w14:paraId="25238757" w14:textId="182E097B" w:rsidR="6037D511" w:rsidRDefault="6037D511" w:rsidP="6037D511">
    <w:pPr>
      <w:pStyle w:val="En-tte"/>
      <w:ind w:left="708" w:firstLine="708"/>
    </w:pPr>
  </w:p>
  <w:p w14:paraId="342F5D7E" w14:textId="355158DA" w:rsidR="6037D511" w:rsidRDefault="6037D511" w:rsidP="6037D511">
    <w:pPr>
      <w:pStyle w:val="En-tte"/>
      <w:ind w:left="708" w:firstLine="70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74759" w14:textId="37AACA56" w:rsidR="6037D511" w:rsidRDefault="6037D511" w:rsidP="6037D511">
    <w:pPr>
      <w:pStyle w:val="En-tte"/>
      <w:ind w:left="708" w:firstLine="708"/>
    </w:pPr>
    <w:r>
      <w:rPr>
        <w:noProof/>
      </w:rPr>
      <w:drawing>
        <wp:inline distT="0" distB="0" distL="0" distR="0" wp14:anchorId="4629003E" wp14:editId="34A2EBD9">
          <wp:extent cx="1339215" cy="462915"/>
          <wp:effectExtent l="0" t="0" r="0" b="0"/>
          <wp:docPr id="847266227" name="Image 1" descr="Une image contenant texte, Police, blanc,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blanc, Graphique&#10;&#10;Description générée automatiquemen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294" r="8354"/>
                  <a:stretch/>
                </pic:blipFill>
                <pic:spPr bwMode="auto">
                  <a:xfrm>
                    <a:off x="0" y="0"/>
                    <a:ext cx="1339215" cy="46291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69335755" wp14:editId="1B905F0C">
          <wp:extent cx="633095" cy="463550"/>
          <wp:effectExtent l="0" t="0" r="0" b="0"/>
          <wp:docPr id="26169045" name="Image 6"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Police, logo, Graphique&#10;&#10;Description générée automatiquement"/>
                  <pic:cNvPicPr/>
                </pic:nvPicPr>
                <pic:blipFill>
                  <a:blip r:embed="rId2" cstate="print">
                    <a:extLst>
                      <a:ext uri="{28A0092B-C50C-407E-A947-70E740481C1C}">
                        <a14:useLocalDpi xmlns:a14="http://schemas.microsoft.com/office/drawing/2010/main" val="0"/>
                      </a:ext>
                    </a:extLst>
                  </a:blip>
                  <a:stretch>
                    <a:fillRect/>
                  </a:stretch>
                </pic:blipFill>
                <pic:spPr>
                  <a:xfrm>
                    <a:off x="0" y="0"/>
                    <a:ext cx="633095" cy="4635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8A"/>
    <w:rsid w:val="0000156F"/>
    <w:rsid w:val="00065907"/>
    <w:rsid w:val="0007002E"/>
    <w:rsid w:val="00090435"/>
    <w:rsid w:val="000A3CDA"/>
    <w:rsid w:val="000B23D4"/>
    <w:rsid w:val="000C770E"/>
    <w:rsid w:val="000E00C9"/>
    <w:rsid w:val="00134494"/>
    <w:rsid w:val="001501BE"/>
    <w:rsid w:val="0018544E"/>
    <w:rsid w:val="00197BB2"/>
    <w:rsid w:val="001F7FFC"/>
    <w:rsid w:val="00261961"/>
    <w:rsid w:val="002855A7"/>
    <w:rsid w:val="002B405D"/>
    <w:rsid w:val="002E5739"/>
    <w:rsid w:val="003059C9"/>
    <w:rsid w:val="003069C4"/>
    <w:rsid w:val="003077E0"/>
    <w:rsid w:val="00353944"/>
    <w:rsid w:val="00355171"/>
    <w:rsid w:val="0037286E"/>
    <w:rsid w:val="00387584"/>
    <w:rsid w:val="0041036E"/>
    <w:rsid w:val="00453237"/>
    <w:rsid w:val="00463E1D"/>
    <w:rsid w:val="00491ABF"/>
    <w:rsid w:val="004961B8"/>
    <w:rsid w:val="004A0E66"/>
    <w:rsid w:val="004A7ACF"/>
    <w:rsid w:val="004D4C12"/>
    <w:rsid w:val="00520064"/>
    <w:rsid w:val="00523DE3"/>
    <w:rsid w:val="00532331"/>
    <w:rsid w:val="00543D66"/>
    <w:rsid w:val="00547236"/>
    <w:rsid w:val="005607F1"/>
    <w:rsid w:val="005A347E"/>
    <w:rsid w:val="005B1A8A"/>
    <w:rsid w:val="005F4150"/>
    <w:rsid w:val="00616AA9"/>
    <w:rsid w:val="006A209F"/>
    <w:rsid w:val="006A7495"/>
    <w:rsid w:val="006E6853"/>
    <w:rsid w:val="00707CD4"/>
    <w:rsid w:val="007121DE"/>
    <w:rsid w:val="0073540E"/>
    <w:rsid w:val="00755553"/>
    <w:rsid w:val="00762A6D"/>
    <w:rsid w:val="00765FBD"/>
    <w:rsid w:val="00770BB0"/>
    <w:rsid w:val="00773429"/>
    <w:rsid w:val="00780786"/>
    <w:rsid w:val="00783F61"/>
    <w:rsid w:val="00785FED"/>
    <w:rsid w:val="0079780E"/>
    <w:rsid w:val="007B1635"/>
    <w:rsid w:val="007B4B90"/>
    <w:rsid w:val="007E648A"/>
    <w:rsid w:val="00830423"/>
    <w:rsid w:val="00835A1A"/>
    <w:rsid w:val="00835DE4"/>
    <w:rsid w:val="008666D9"/>
    <w:rsid w:val="008E2994"/>
    <w:rsid w:val="009118E4"/>
    <w:rsid w:val="009D7C30"/>
    <w:rsid w:val="009F382F"/>
    <w:rsid w:val="00A05D4F"/>
    <w:rsid w:val="00A50561"/>
    <w:rsid w:val="00AC43A4"/>
    <w:rsid w:val="00AE3DDD"/>
    <w:rsid w:val="00AF66F5"/>
    <w:rsid w:val="00B459EF"/>
    <w:rsid w:val="00BB2BE5"/>
    <w:rsid w:val="00BC68A5"/>
    <w:rsid w:val="00C162AC"/>
    <w:rsid w:val="00C46F7A"/>
    <w:rsid w:val="00C64DC1"/>
    <w:rsid w:val="00CC3CFA"/>
    <w:rsid w:val="00CF1E17"/>
    <w:rsid w:val="00D1608A"/>
    <w:rsid w:val="00D46135"/>
    <w:rsid w:val="00D50D3A"/>
    <w:rsid w:val="00D55200"/>
    <w:rsid w:val="00D9514D"/>
    <w:rsid w:val="00D96C16"/>
    <w:rsid w:val="00DC4DB5"/>
    <w:rsid w:val="00DD5000"/>
    <w:rsid w:val="00E6672E"/>
    <w:rsid w:val="00E76749"/>
    <w:rsid w:val="00EA0C99"/>
    <w:rsid w:val="00EC3F4B"/>
    <w:rsid w:val="00EE525A"/>
    <w:rsid w:val="00F862C8"/>
    <w:rsid w:val="00F9266C"/>
    <w:rsid w:val="00FA4FB7"/>
    <w:rsid w:val="00FE7646"/>
    <w:rsid w:val="024C2706"/>
    <w:rsid w:val="02AA2895"/>
    <w:rsid w:val="05263140"/>
    <w:rsid w:val="058588F2"/>
    <w:rsid w:val="05D46D92"/>
    <w:rsid w:val="0626B986"/>
    <w:rsid w:val="067FA1C1"/>
    <w:rsid w:val="09065701"/>
    <w:rsid w:val="096FFA4E"/>
    <w:rsid w:val="09AAED75"/>
    <w:rsid w:val="0BE1DE29"/>
    <w:rsid w:val="0C2B5918"/>
    <w:rsid w:val="0C9497D6"/>
    <w:rsid w:val="0D346924"/>
    <w:rsid w:val="0D388C7B"/>
    <w:rsid w:val="0D6896CE"/>
    <w:rsid w:val="104F36D1"/>
    <w:rsid w:val="1116322E"/>
    <w:rsid w:val="13FFC399"/>
    <w:rsid w:val="142E0B8F"/>
    <w:rsid w:val="15C5CF53"/>
    <w:rsid w:val="174D7021"/>
    <w:rsid w:val="1A6BE786"/>
    <w:rsid w:val="1EAE9345"/>
    <w:rsid w:val="207E0CFB"/>
    <w:rsid w:val="23478437"/>
    <w:rsid w:val="268C24FD"/>
    <w:rsid w:val="27282CA2"/>
    <w:rsid w:val="27D29743"/>
    <w:rsid w:val="27FEF0FF"/>
    <w:rsid w:val="287E85C1"/>
    <w:rsid w:val="29AA2B15"/>
    <w:rsid w:val="2AF79195"/>
    <w:rsid w:val="2B523C4B"/>
    <w:rsid w:val="2CC83D84"/>
    <w:rsid w:val="2F47BEC1"/>
    <w:rsid w:val="2F4D7DDF"/>
    <w:rsid w:val="2F80190B"/>
    <w:rsid w:val="32012391"/>
    <w:rsid w:val="347896BD"/>
    <w:rsid w:val="3554CB8C"/>
    <w:rsid w:val="362F1152"/>
    <w:rsid w:val="37826BD0"/>
    <w:rsid w:val="37D2CE9B"/>
    <w:rsid w:val="380367EA"/>
    <w:rsid w:val="39DA66BC"/>
    <w:rsid w:val="3F76F65A"/>
    <w:rsid w:val="3FE5B79B"/>
    <w:rsid w:val="400F412D"/>
    <w:rsid w:val="407D932F"/>
    <w:rsid w:val="448D52E2"/>
    <w:rsid w:val="44976139"/>
    <w:rsid w:val="459A1B35"/>
    <w:rsid w:val="48C12BAE"/>
    <w:rsid w:val="4F04C426"/>
    <w:rsid w:val="4FC0F459"/>
    <w:rsid w:val="50B1BC77"/>
    <w:rsid w:val="51C882DB"/>
    <w:rsid w:val="51C8D605"/>
    <w:rsid w:val="53A30547"/>
    <w:rsid w:val="5541A55A"/>
    <w:rsid w:val="56639474"/>
    <w:rsid w:val="56ED601A"/>
    <w:rsid w:val="57CF5250"/>
    <w:rsid w:val="5BA4CD41"/>
    <w:rsid w:val="5F66B786"/>
    <w:rsid w:val="6037D511"/>
    <w:rsid w:val="62A5F798"/>
    <w:rsid w:val="63DB68D7"/>
    <w:rsid w:val="65054B38"/>
    <w:rsid w:val="655307DA"/>
    <w:rsid w:val="6BC288E5"/>
    <w:rsid w:val="6D19396D"/>
    <w:rsid w:val="6D7CB4B6"/>
    <w:rsid w:val="6E59466A"/>
    <w:rsid w:val="6EFE2DB4"/>
    <w:rsid w:val="715F5483"/>
    <w:rsid w:val="717BB0DA"/>
    <w:rsid w:val="72F05BCD"/>
    <w:rsid w:val="750B6E9B"/>
    <w:rsid w:val="751D68AF"/>
    <w:rsid w:val="773F91D3"/>
    <w:rsid w:val="79775ACE"/>
    <w:rsid w:val="799CC892"/>
    <w:rsid w:val="7A791134"/>
    <w:rsid w:val="7E6C062B"/>
    <w:rsid w:val="7F67FA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FB2E3"/>
  <w15:chartTrackingRefBased/>
  <w15:docId w15:val="{C87EA8A6-70E6-427C-8F7D-E0E2D664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vgsua">
    <w:name w:val="cvgsua"/>
    <w:basedOn w:val="Normal"/>
    <w:rsid w:val="005B1A8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gcmg">
    <w:name w:val="a_gcmg"/>
    <w:basedOn w:val="Policepardfaut"/>
    <w:rsid w:val="005B1A8A"/>
  </w:style>
  <w:style w:type="paragraph" w:styleId="En-tte">
    <w:name w:val="header"/>
    <w:basedOn w:val="Normal"/>
    <w:link w:val="En-tteCar"/>
    <w:uiPriority w:val="99"/>
    <w:unhideWhenUsed/>
    <w:rsid w:val="007121DE"/>
    <w:pPr>
      <w:tabs>
        <w:tab w:val="center" w:pos="4536"/>
        <w:tab w:val="right" w:pos="9072"/>
      </w:tabs>
      <w:spacing w:after="0" w:line="240" w:lineRule="auto"/>
    </w:pPr>
  </w:style>
  <w:style w:type="character" w:customStyle="1" w:styleId="En-tteCar">
    <w:name w:val="En-tête Car"/>
    <w:basedOn w:val="Policepardfaut"/>
    <w:link w:val="En-tte"/>
    <w:uiPriority w:val="99"/>
    <w:rsid w:val="007121DE"/>
  </w:style>
  <w:style w:type="paragraph" w:styleId="Pieddepage">
    <w:name w:val="footer"/>
    <w:basedOn w:val="Normal"/>
    <w:link w:val="PieddepageCar"/>
    <w:uiPriority w:val="99"/>
    <w:unhideWhenUsed/>
    <w:rsid w:val="007121D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21DE"/>
  </w:style>
  <w:style w:type="character" w:styleId="Lienhypertexte">
    <w:name w:val="Hyperlink"/>
    <w:basedOn w:val="Policepardfaut"/>
    <w:uiPriority w:val="99"/>
    <w:unhideWhenUsed/>
    <w:rsid w:val="00CF1E17"/>
    <w:rPr>
      <w:color w:val="0563C1" w:themeColor="hyperlink"/>
      <w:u w:val="single"/>
    </w:rPr>
  </w:style>
  <w:style w:type="character" w:styleId="Mentionnonrsolue">
    <w:name w:val="Unresolved Mention"/>
    <w:basedOn w:val="Policepardfaut"/>
    <w:uiPriority w:val="99"/>
    <w:semiHidden/>
    <w:unhideWhenUsed/>
    <w:rsid w:val="00CF1E17"/>
    <w:rPr>
      <w:color w:val="605E5C"/>
      <w:shd w:val="clear" w:color="auto" w:fill="E1DFDD"/>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7E64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410266">
      <w:bodyDiv w:val="1"/>
      <w:marLeft w:val="0"/>
      <w:marRight w:val="0"/>
      <w:marTop w:val="0"/>
      <w:marBottom w:val="0"/>
      <w:divBdr>
        <w:top w:val="none" w:sz="0" w:space="0" w:color="auto"/>
        <w:left w:val="none" w:sz="0" w:space="0" w:color="auto"/>
        <w:bottom w:val="none" w:sz="0" w:space="0" w:color="auto"/>
        <w:right w:val="none" w:sz="0" w:space="0" w:color="auto"/>
      </w:divBdr>
    </w:div>
    <w:div w:id="566231139">
      <w:bodyDiv w:val="1"/>
      <w:marLeft w:val="0"/>
      <w:marRight w:val="0"/>
      <w:marTop w:val="0"/>
      <w:marBottom w:val="0"/>
      <w:divBdr>
        <w:top w:val="none" w:sz="0" w:space="0" w:color="auto"/>
        <w:left w:val="none" w:sz="0" w:space="0" w:color="auto"/>
        <w:bottom w:val="none" w:sz="0" w:space="0" w:color="auto"/>
        <w:right w:val="none" w:sz="0" w:space="0" w:color="auto"/>
      </w:divBdr>
    </w:div>
    <w:div w:id="918711186">
      <w:bodyDiv w:val="1"/>
      <w:marLeft w:val="0"/>
      <w:marRight w:val="0"/>
      <w:marTop w:val="0"/>
      <w:marBottom w:val="0"/>
      <w:divBdr>
        <w:top w:val="none" w:sz="0" w:space="0" w:color="auto"/>
        <w:left w:val="none" w:sz="0" w:space="0" w:color="auto"/>
        <w:bottom w:val="none" w:sz="0" w:space="0" w:color="auto"/>
        <w:right w:val="none" w:sz="0" w:space="0" w:color="auto"/>
      </w:divBdr>
    </w:div>
    <w:div w:id="1545677076">
      <w:bodyDiv w:val="1"/>
      <w:marLeft w:val="0"/>
      <w:marRight w:val="0"/>
      <w:marTop w:val="0"/>
      <w:marBottom w:val="0"/>
      <w:divBdr>
        <w:top w:val="none" w:sz="0" w:space="0" w:color="auto"/>
        <w:left w:val="none" w:sz="0" w:space="0" w:color="auto"/>
        <w:bottom w:val="none" w:sz="0" w:space="0" w:color="auto"/>
        <w:right w:val="none" w:sz="0" w:space="0" w:color="auto"/>
      </w:divBdr>
    </w:div>
    <w:div w:id="154575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emie.husson@ecoledulouvre.f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ecoledulouvre.fr/fr/formations-etudiantes/deuxieme-cycle-master/master-2"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cfe5c4-c493-404a-afba-207be3eb45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25DF83258274E8F9C85E073923E9C" ma:contentTypeVersion="10" ma:contentTypeDescription="Crée un document." ma:contentTypeScope="" ma:versionID="05fcd4d023cc29e43f328b6ae8201b2c">
  <xsd:schema xmlns:xsd="http://www.w3.org/2001/XMLSchema" xmlns:xs="http://www.w3.org/2001/XMLSchema" xmlns:p="http://schemas.microsoft.com/office/2006/metadata/properties" xmlns:ns2="f4cfe5c4-c493-404a-afba-207be3eb4537" targetNamespace="http://schemas.microsoft.com/office/2006/metadata/properties" ma:root="true" ma:fieldsID="371255ec142b1b778185fa8cfe154169" ns2:_="">
    <xsd:import namespace="f4cfe5c4-c493-404a-afba-207be3eb45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fe5c4-c493-404a-afba-207be3eb4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456a683-f58c-476b-9443-62e7696de36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8B219B-6630-406D-BC2B-AB93EB573FCF}">
  <ds:schemaRefs>
    <ds:schemaRef ds:uri="http://schemas.microsoft.com/office/2006/metadata/properties"/>
    <ds:schemaRef ds:uri="http://schemas.microsoft.com/office/infopath/2007/PartnerControls"/>
    <ds:schemaRef ds:uri="f4cfe5c4-c493-404a-afba-207be3eb4537"/>
  </ds:schemaRefs>
</ds:datastoreItem>
</file>

<file path=customXml/itemProps2.xml><?xml version="1.0" encoding="utf-8"?>
<ds:datastoreItem xmlns:ds="http://schemas.openxmlformats.org/officeDocument/2006/customXml" ds:itemID="{93BD443C-6FB4-41CD-8C8F-AAE81069B373}">
  <ds:schemaRefs>
    <ds:schemaRef ds:uri="http://schemas.microsoft.com/sharepoint/v3/contenttype/forms"/>
  </ds:schemaRefs>
</ds:datastoreItem>
</file>

<file path=customXml/itemProps3.xml><?xml version="1.0" encoding="utf-8"?>
<ds:datastoreItem xmlns:ds="http://schemas.openxmlformats.org/officeDocument/2006/customXml" ds:itemID="{0991AD50-2D15-48E5-A67E-D06931A6C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fe5c4-c493-404a-afba-207be3eb4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3751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Ecole du Louvre</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CHEPDA</dc:creator>
  <cp:keywords/>
  <dc:description/>
  <cp:lastModifiedBy>Aslanoff Gregoire</cp:lastModifiedBy>
  <cp:revision>2</cp:revision>
  <cp:lastPrinted>2026-02-05T09:53:00Z</cp:lastPrinted>
  <dcterms:created xsi:type="dcterms:W3CDTF">2026-03-18T10:42:00Z</dcterms:created>
  <dcterms:modified xsi:type="dcterms:W3CDTF">2026-03-18T10:42:00Z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0x01010064325DF83258274E8F9C85E073923E9C</vt:lpwstr>
  </property>
  <property fmtid="{D5CDD505-2E9C-101B-9397-08002B2CF9AE}" pid="3" name="MediaServiceImageTags">
    <vt:lpwstr/>
  </property>
</Properties>
</file>