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CA3C" w14:textId="77777777" w:rsidR="00EF12DD" w:rsidRDefault="00EF12DD" w:rsidP="00EF12DD">
      <w:pPr>
        <w:jc w:val="center"/>
        <w:rPr>
          <w:rFonts w:ascii="Times New Roman" w:hAnsi="Times New Roman"/>
          <w:b/>
          <w:bCs/>
          <w:sz w:val="26"/>
          <w:szCs w:val="26"/>
          <w:lang w:val="fr-FR"/>
        </w:rPr>
      </w:pPr>
      <w:r>
        <w:rPr>
          <w:rFonts w:ascii="Times New Roman" w:hAnsi="Times New Roman"/>
          <w:b/>
          <w:bCs/>
          <w:noProof/>
          <w:sz w:val="26"/>
          <w:szCs w:val="26"/>
          <w:lang w:val="fr-FR" w:eastAsia="fr-FR"/>
        </w:rPr>
        <w:drawing>
          <wp:inline distT="0" distB="0" distL="0" distR="0" wp14:anchorId="79B83C7B" wp14:editId="2BF52169">
            <wp:extent cx="1244010" cy="12440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67830_10214825071204192_1544397036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3106" cy="1243106"/>
                    </a:xfrm>
                    <a:prstGeom prst="rect">
                      <a:avLst/>
                    </a:prstGeom>
                  </pic:spPr>
                </pic:pic>
              </a:graphicData>
            </a:graphic>
          </wp:inline>
        </w:drawing>
      </w:r>
    </w:p>
    <w:p w14:paraId="641C2062" w14:textId="77777777" w:rsidR="00EF12DD" w:rsidRDefault="00EF12DD" w:rsidP="00EF12DD">
      <w:pPr>
        <w:jc w:val="center"/>
        <w:rPr>
          <w:rFonts w:ascii="Times New Roman" w:hAnsi="Times New Roman"/>
          <w:b/>
          <w:bCs/>
          <w:sz w:val="26"/>
          <w:szCs w:val="26"/>
          <w:lang w:val="fr-FR"/>
        </w:rPr>
      </w:pPr>
    </w:p>
    <w:p w14:paraId="26133F79" w14:textId="77777777" w:rsidR="00EF12DD" w:rsidRPr="00A617E4" w:rsidRDefault="00EF12DD" w:rsidP="00EF12DD">
      <w:pPr>
        <w:jc w:val="center"/>
        <w:rPr>
          <w:rFonts w:ascii="Times New Roman" w:hAnsi="Times New Roman"/>
          <w:b/>
          <w:caps/>
          <w:sz w:val="24"/>
          <w:szCs w:val="24"/>
          <w:lang w:val="fr-FR"/>
        </w:rPr>
      </w:pPr>
      <w:r w:rsidRPr="00A617E4">
        <w:rPr>
          <w:rFonts w:ascii="Times New Roman" w:hAnsi="Times New Roman"/>
          <w:b/>
          <w:bCs/>
          <w:caps/>
          <w:sz w:val="26"/>
          <w:szCs w:val="26"/>
          <w:lang w:val="fr-FR"/>
        </w:rPr>
        <w:t>Journée d’étude des doctorants du Centre André Chastel</w:t>
      </w:r>
      <w:r w:rsidRPr="00A617E4">
        <w:rPr>
          <w:rFonts w:ascii="Times New Roman" w:hAnsi="Times New Roman"/>
          <w:b/>
          <w:caps/>
          <w:sz w:val="24"/>
          <w:szCs w:val="24"/>
          <w:lang w:val="fr-FR"/>
        </w:rPr>
        <w:t xml:space="preserve"> </w:t>
      </w:r>
    </w:p>
    <w:p w14:paraId="4B76BFB3" w14:textId="77777777" w:rsidR="00EF12DD" w:rsidRDefault="00EF12DD" w:rsidP="00EF12DD">
      <w:pPr>
        <w:jc w:val="center"/>
        <w:rPr>
          <w:rFonts w:ascii="Times New Roman" w:hAnsi="Times New Roman"/>
          <w:b/>
          <w:sz w:val="24"/>
          <w:szCs w:val="24"/>
          <w:lang w:val="fr-FR"/>
        </w:rPr>
      </w:pPr>
    </w:p>
    <w:p w14:paraId="25A51F74" w14:textId="77777777" w:rsidR="00BD268C" w:rsidRDefault="00BD268C" w:rsidP="00EF12DD">
      <w:pPr>
        <w:jc w:val="center"/>
        <w:rPr>
          <w:rFonts w:ascii="Times New Roman" w:hAnsi="Times New Roman"/>
          <w:b/>
          <w:sz w:val="24"/>
          <w:szCs w:val="24"/>
          <w:lang w:val="fr-FR"/>
        </w:rPr>
      </w:pPr>
    </w:p>
    <w:p w14:paraId="4AB46E6C" w14:textId="77777777" w:rsidR="00EF12DD" w:rsidRPr="00BD268C" w:rsidRDefault="00A617E4" w:rsidP="00EF12DD">
      <w:pPr>
        <w:jc w:val="center"/>
        <w:rPr>
          <w:rFonts w:ascii="Times New Roman" w:hAnsi="Times New Roman"/>
          <w:sz w:val="24"/>
          <w:szCs w:val="24"/>
          <w:lang w:val="fr-FR"/>
        </w:rPr>
      </w:pPr>
      <w:r w:rsidRPr="00BD268C">
        <w:rPr>
          <w:rFonts w:ascii="Times New Roman" w:hAnsi="Times New Roman"/>
          <w:sz w:val="24"/>
          <w:szCs w:val="24"/>
          <w:lang w:val="fr-FR"/>
        </w:rPr>
        <w:t>Appel à communications</w:t>
      </w:r>
    </w:p>
    <w:p w14:paraId="06FCF171" w14:textId="77777777" w:rsidR="00A617E4" w:rsidRPr="00A617E4" w:rsidRDefault="00A617E4" w:rsidP="00EF12DD">
      <w:pPr>
        <w:jc w:val="center"/>
        <w:rPr>
          <w:rFonts w:ascii="Times New Roman" w:hAnsi="Times New Roman"/>
          <w:sz w:val="28"/>
          <w:szCs w:val="28"/>
          <w:lang w:val="fr-FR"/>
        </w:rPr>
      </w:pPr>
    </w:p>
    <w:p w14:paraId="30C7251D" w14:textId="77777777" w:rsidR="00EF12DD" w:rsidRPr="00A617E4" w:rsidRDefault="00EF12DD" w:rsidP="00EF12DD">
      <w:pPr>
        <w:jc w:val="center"/>
        <w:rPr>
          <w:rFonts w:ascii="Times New Roman" w:hAnsi="Times New Roman"/>
          <w:b/>
          <w:smallCaps/>
          <w:sz w:val="28"/>
          <w:szCs w:val="28"/>
          <w:lang w:val="fr-FR"/>
        </w:rPr>
      </w:pPr>
      <w:r w:rsidRPr="00A617E4">
        <w:rPr>
          <w:rFonts w:ascii="Times New Roman" w:hAnsi="Times New Roman"/>
          <w:b/>
          <w:smallCaps/>
          <w:sz w:val="28"/>
          <w:szCs w:val="28"/>
          <w:lang w:val="fr-FR"/>
        </w:rPr>
        <w:t xml:space="preserve">L’Architecture gothique. Entre réception et invention. </w:t>
      </w:r>
    </w:p>
    <w:p w14:paraId="62E791B0" w14:textId="77777777" w:rsidR="00EF12DD" w:rsidRPr="00BD268C" w:rsidRDefault="00EF12DD" w:rsidP="00BD268C">
      <w:pPr>
        <w:jc w:val="center"/>
        <w:rPr>
          <w:rFonts w:ascii="Times New Roman" w:hAnsi="Times New Roman"/>
          <w:b/>
          <w:smallCaps/>
          <w:sz w:val="26"/>
          <w:szCs w:val="26"/>
          <w:vertAlign w:val="superscript"/>
          <w:lang w:val="fr-FR"/>
        </w:rPr>
      </w:pPr>
      <w:r w:rsidRPr="00A617E4">
        <w:rPr>
          <w:rFonts w:ascii="Times New Roman" w:hAnsi="Times New Roman"/>
          <w:b/>
          <w:smallCaps/>
          <w:sz w:val="26"/>
          <w:szCs w:val="26"/>
          <w:lang w:val="fr-FR"/>
        </w:rPr>
        <w:t>Impact, continuité et réinterprétation (XII</w:t>
      </w:r>
      <w:r w:rsidRPr="00A617E4">
        <w:rPr>
          <w:rFonts w:ascii="Times New Roman" w:hAnsi="Times New Roman"/>
          <w:b/>
          <w:smallCaps/>
          <w:sz w:val="26"/>
          <w:szCs w:val="26"/>
          <w:vertAlign w:val="superscript"/>
          <w:lang w:val="fr-FR"/>
        </w:rPr>
        <w:t>ème</w:t>
      </w:r>
      <w:r w:rsidRPr="00A617E4">
        <w:rPr>
          <w:rFonts w:ascii="Times New Roman" w:hAnsi="Times New Roman"/>
          <w:b/>
          <w:smallCaps/>
          <w:sz w:val="26"/>
          <w:szCs w:val="26"/>
          <w:lang w:val="fr-FR"/>
        </w:rPr>
        <w:t>-XX</w:t>
      </w:r>
      <w:r w:rsidRPr="00A617E4">
        <w:rPr>
          <w:rFonts w:ascii="Times New Roman" w:hAnsi="Times New Roman"/>
          <w:b/>
          <w:smallCaps/>
          <w:sz w:val="26"/>
          <w:szCs w:val="26"/>
          <w:vertAlign w:val="superscript"/>
          <w:lang w:val="fr-FR"/>
        </w:rPr>
        <w:t>ème</w:t>
      </w:r>
      <w:r w:rsidRPr="00A617E4">
        <w:rPr>
          <w:rFonts w:ascii="Times New Roman" w:hAnsi="Times New Roman"/>
          <w:b/>
          <w:smallCaps/>
          <w:sz w:val="26"/>
          <w:szCs w:val="26"/>
          <w:lang w:val="fr-FR"/>
        </w:rPr>
        <w:t xml:space="preserve"> siècle)</w:t>
      </w:r>
    </w:p>
    <w:p w14:paraId="68CD0A11" w14:textId="77777777" w:rsidR="00EF12DD" w:rsidRDefault="00EF12DD" w:rsidP="00EF12DD">
      <w:pPr>
        <w:jc w:val="center"/>
        <w:rPr>
          <w:rFonts w:ascii="Times New Roman" w:hAnsi="Times New Roman"/>
          <w:bCs/>
          <w:sz w:val="24"/>
          <w:szCs w:val="24"/>
          <w:lang w:val="fr-FR"/>
        </w:rPr>
      </w:pPr>
    </w:p>
    <w:p w14:paraId="1D08150E" w14:textId="77777777" w:rsidR="00EF12DD" w:rsidRPr="001A362D" w:rsidRDefault="00EF12DD" w:rsidP="00EF12DD">
      <w:pPr>
        <w:jc w:val="center"/>
        <w:rPr>
          <w:rFonts w:ascii="Times New Roman" w:hAnsi="Times New Roman"/>
          <w:bCs/>
          <w:sz w:val="24"/>
          <w:szCs w:val="24"/>
          <w:lang w:val="fr-FR"/>
        </w:rPr>
      </w:pPr>
      <w:r>
        <w:rPr>
          <w:rFonts w:ascii="Times New Roman" w:hAnsi="Times New Roman"/>
          <w:bCs/>
          <w:sz w:val="24"/>
          <w:szCs w:val="24"/>
          <w:lang w:val="fr-FR"/>
        </w:rPr>
        <w:t>10 M</w:t>
      </w:r>
      <w:r w:rsidRPr="001A362D">
        <w:rPr>
          <w:rFonts w:ascii="Times New Roman" w:hAnsi="Times New Roman"/>
          <w:bCs/>
          <w:sz w:val="24"/>
          <w:szCs w:val="24"/>
          <w:lang w:val="fr-FR"/>
        </w:rPr>
        <w:t>ars 2018</w:t>
      </w:r>
    </w:p>
    <w:p w14:paraId="5A1C7C9F" w14:textId="77777777" w:rsidR="00EF12DD" w:rsidRPr="00173183" w:rsidRDefault="00EF12DD" w:rsidP="00EF12DD">
      <w:pPr>
        <w:spacing w:after="240"/>
        <w:jc w:val="center"/>
        <w:rPr>
          <w:rFonts w:ascii="Times New Roman" w:hAnsi="Times New Roman"/>
          <w:b/>
          <w:bCs/>
          <w:sz w:val="26"/>
          <w:szCs w:val="26"/>
          <w:lang w:val="fr-FR"/>
        </w:rPr>
      </w:pPr>
    </w:p>
    <w:p w14:paraId="11E5C4FE" w14:textId="77777777" w:rsidR="00EF12DD" w:rsidRPr="00E01CCA" w:rsidRDefault="00BD268C" w:rsidP="00EF12DD">
      <w:pPr>
        <w:jc w:val="center"/>
        <w:rPr>
          <w:rFonts w:ascii="Times New Roman" w:hAnsi="Times New Roman"/>
          <w:sz w:val="24"/>
          <w:szCs w:val="24"/>
          <w:lang w:val="fr-FR"/>
        </w:rPr>
      </w:pPr>
      <w:r>
        <w:rPr>
          <w:rFonts w:ascii="Times New Roman" w:hAnsi="Times New Roman"/>
          <w:b/>
          <w:sz w:val="24"/>
          <w:szCs w:val="24"/>
          <w:lang w:val="fr-FR"/>
        </w:rPr>
        <w:t>--------------------</w:t>
      </w:r>
    </w:p>
    <w:p w14:paraId="36C306F6" w14:textId="77777777" w:rsidR="00EF12DD" w:rsidRPr="00E01CCA" w:rsidRDefault="00EF12DD" w:rsidP="00EF12DD">
      <w:pPr>
        <w:pStyle w:val="Normalweb"/>
        <w:ind w:firstLine="708"/>
        <w:rPr>
          <w:lang w:val="fr-FR"/>
        </w:rPr>
      </w:pPr>
      <w:r w:rsidRPr="00E01CCA">
        <w:rPr>
          <w:lang w:val="fr-FR"/>
        </w:rPr>
        <w:t>L’une des définitions les plus correctes du terme « gothique » est celle qui interprète ce phénomène architectural non comme l’expression d’une période historique mais comme un système structurel, défini en Ile-de-France à partir du milieu du XII</w:t>
      </w:r>
      <w:r w:rsidRPr="00E01CCA">
        <w:rPr>
          <w:vertAlign w:val="superscript"/>
          <w:lang w:val="fr-FR"/>
        </w:rPr>
        <w:t>ème</w:t>
      </w:r>
      <w:r w:rsidRPr="00E01CCA">
        <w:rPr>
          <w:lang w:val="fr-FR"/>
        </w:rPr>
        <w:t xml:space="preserve"> siècle. Les connaissances techniques déjà expérimentées à l’époque romane sont alors intégrées dans une relation consciente entre structures portantes et structures portées, en obtenant de nouveaux effets esthétiques et symboliques.  </w:t>
      </w:r>
    </w:p>
    <w:p w14:paraId="72EED82A" w14:textId="77777777" w:rsidR="00EF12DD" w:rsidRPr="00E01CCA" w:rsidRDefault="00EF12DD" w:rsidP="00EF12DD">
      <w:pPr>
        <w:pStyle w:val="Normalweb"/>
        <w:ind w:firstLine="708"/>
        <w:rPr>
          <w:lang w:val="fr-FR"/>
        </w:rPr>
      </w:pPr>
      <w:r w:rsidRPr="00E01CCA">
        <w:rPr>
          <w:lang w:val="fr-FR"/>
        </w:rPr>
        <w:t>Entre la fin du XII</w:t>
      </w:r>
      <w:r w:rsidRPr="00E01CCA">
        <w:rPr>
          <w:vertAlign w:val="superscript"/>
          <w:lang w:val="fr-FR"/>
        </w:rPr>
        <w:t>ème</w:t>
      </w:r>
      <w:r w:rsidRPr="00E01CCA">
        <w:rPr>
          <w:lang w:val="fr-FR"/>
        </w:rPr>
        <w:t xml:space="preserve"> et le XIII</w:t>
      </w:r>
      <w:r w:rsidRPr="00E01CCA">
        <w:rPr>
          <w:vertAlign w:val="superscript"/>
          <w:lang w:val="fr-FR"/>
        </w:rPr>
        <w:t xml:space="preserve">ème </w:t>
      </w:r>
      <w:r w:rsidRPr="00E01CCA">
        <w:rPr>
          <w:lang w:val="fr-FR"/>
        </w:rPr>
        <w:t xml:space="preserve">siècle, l’architecture gothique se développe en Europe, particulièrement en Angleterre, Allemagne, Espagne, Italie, Hongrie et Bohème et entre en contact avec les traditions constructives locales, notamment grâce à l’activité des ordres monastiques. La synthèse entre la réception de modèles existants et l’invention de nouvelles expressions artistiques donne </w:t>
      </w:r>
      <w:r>
        <w:rPr>
          <w:lang w:val="fr-FR"/>
        </w:rPr>
        <w:t xml:space="preserve">naissance à </w:t>
      </w:r>
      <w:r w:rsidRPr="00E01CCA">
        <w:rPr>
          <w:lang w:val="fr-FR"/>
        </w:rPr>
        <w:t>des œuvres neuves créées dans des contextes historiques, géographiques et socio-culturels différents par rapport au contexte français.</w:t>
      </w:r>
    </w:p>
    <w:p w14:paraId="4FE7CA6E" w14:textId="77777777" w:rsidR="00EF12DD" w:rsidRPr="00E01CCA" w:rsidRDefault="00EF12DD" w:rsidP="00EF12DD">
      <w:pPr>
        <w:pStyle w:val="Normalweb"/>
        <w:spacing w:before="0" w:beforeAutospacing="0" w:after="0" w:afterAutospacing="0"/>
        <w:ind w:firstLine="708"/>
        <w:jc w:val="both"/>
        <w:rPr>
          <w:lang w:val="fr-FR"/>
        </w:rPr>
      </w:pPr>
      <w:r w:rsidRPr="00E01CCA">
        <w:rPr>
          <w:lang w:val="fr-FR"/>
        </w:rPr>
        <w:t xml:space="preserve">En Italie, par exemple, la leçon du gothique français, transmise principalement par les cisterciens, est ensuite assimilée par les ordres mendiants et, en Italie </w:t>
      </w:r>
      <w:r>
        <w:rPr>
          <w:lang w:val="fr-FR"/>
        </w:rPr>
        <w:t xml:space="preserve">méridionale, par Frédéric II et </w:t>
      </w:r>
      <w:r w:rsidRPr="00E01CCA">
        <w:rPr>
          <w:lang w:val="fr-FR"/>
        </w:rPr>
        <w:t xml:space="preserve">finalement par les Angevins. Cependant, le gothique italien ne développe pas l’audace structurelle qui fut, en France, à l’origine d’un formidable élan vertical des parois et de l’effet de </w:t>
      </w:r>
      <w:r w:rsidRPr="00E01CCA">
        <w:rPr>
          <w:i/>
          <w:lang w:val="fr-FR"/>
        </w:rPr>
        <w:t>lux continua</w:t>
      </w:r>
      <w:r w:rsidRPr="00E01CCA">
        <w:rPr>
          <w:lang w:val="fr-FR"/>
        </w:rPr>
        <w:t xml:space="preserve">. Cette différence est à la fois due à la persistance de techniques constructives traditionnelles dans la filiation de l’architecture paléochrétienne et à l’impossibilité d’appliquer la technique de l’arc-boutant dans une zone fortement sismique. </w:t>
      </w:r>
    </w:p>
    <w:p w14:paraId="0A4DAB84" w14:textId="77777777" w:rsidR="00EF12DD" w:rsidRPr="00E01CCA" w:rsidRDefault="00EF12DD" w:rsidP="00EF12DD">
      <w:pPr>
        <w:pStyle w:val="Normalweb"/>
        <w:spacing w:before="0" w:beforeAutospacing="0" w:after="0" w:afterAutospacing="0"/>
        <w:ind w:firstLine="708"/>
        <w:jc w:val="both"/>
        <w:rPr>
          <w:lang w:val="fr-FR"/>
        </w:rPr>
      </w:pPr>
      <w:r w:rsidRPr="00E01CCA">
        <w:rPr>
          <w:lang w:val="fr-FR"/>
        </w:rPr>
        <w:t>Au même titre, en France, entre le début du XV</w:t>
      </w:r>
      <w:r w:rsidRPr="00E01CCA">
        <w:rPr>
          <w:vertAlign w:val="superscript"/>
          <w:lang w:val="fr-FR"/>
        </w:rPr>
        <w:t xml:space="preserve">ème </w:t>
      </w:r>
      <w:r w:rsidRPr="00E01CCA">
        <w:rPr>
          <w:lang w:val="fr-FR"/>
        </w:rPr>
        <w:t xml:space="preserve">et le milieu du </w:t>
      </w:r>
      <w:bookmarkStart w:id="0" w:name="_Hlk483998604"/>
      <w:r w:rsidRPr="00E01CCA">
        <w:rPr>
          <w:lang w:val="fr-FR"/>
        </w:rPr>
        <w:t>XVI</w:t>
      </w:r>
      <w:r w:rsidRPr="00E01CCA">
        <w:rPr>
          <w:vertAlign w:val="superscript"/>
          <w:lang w:val="fr-FR"/>
        </w:rPr>
        <w:t xml:space="preserve">ème </w:t>
      </w:r>
      <w:bookmarkStart w:id="1" w:name="_Hlk483998981"/>
      <w:r w:rsidRPr="00E01CCA">
        <w:rPr>
          <w:lang w:val="fr-FR"/>
        </w:rPr>
        <w:t>siècle</w:t>
      </w:r>
      <w:bookmarkEnd w:id="0"/>
      <w:bookmarkEnd w:id="1"/>
      <w:r w:rsidRPr="00E01CCA">
        <w:rPr>
          <w:lang w:val="fr-FR"/>
        </w:rPr>
        <w:t xml:space="preserve">, l’art gothique flamboyant se mêle à la tradition de la Renaissance importée d’Italie : si l’ossature des églises reste </w:t>
      </w:r>
      <w:r>
        <w:rPr>
          <w:lang w:val="fr-FR"/>
        </w:rPr>
        <w:t>« </w:t>
      </w:r>
      <w:r w:rsidRPr="00E01CCA">
        <w:rPr>
          <w:lang w:val="fr-FR"/>
        </w:rPr>
        <w:t>gothique</w:t>
      </w:r>
      <w:r>
        <w:rPr>
          <w:lang w:val="fr-FR"/>
        </w:rPr>
        <w:t> »</w:t>
      </w:r>
      <w:r w:rsidRPr="00E01CCA">
        <w:rPr>
          <w:lang w:val="fr-FR"/>
        </w:rPr>
        <w:t xml:space="preserve"> même lorsque les formes ornementales assimilent des caractères à l’antique, l’originale rationalité structurelle est en grande partie perdue. La persistance des formes flamboyantes dans l’architecture de la Renaissance française est un phénomène intéressant qui révèle l’importance et l’influence de la tradition gothique.</w:t>
      </w:r>
    </w:p>
    <w:p w14:paraId="60B99A5A" w14:textId="77777777" w:rsidR="00EF12DD" w:rsidRPr="00E01CCA" w:rsidRDefault="00EF12DD" w:rsidP="00EF12DD">
      <w:pPr>
        <w:autoSpaceDE w:val="0"/>
        <w:autoSpaceDN w:val="0"/>
        <w:adjustRightInd w:val="0"/>
        <w:spacing w:after="120"/>
        <w:ind w:firstLine="708"/>
        <w:rPr>
          <w:rFonts w:ascii="Times New Roman" w:hAnsi="Times New Roman"/>
          <w:sz w:val="24"/>
          <w:szCs w:val="24"/>
          <w:lang w:val="fr-FR"/>
        </w:rPr>
      </w:pPr>
      <w:r>
        <w:rPr>
          <w:rFonts w:ascii="Times New Roman" w:hAnsi="Times New Roman"/>
          <w:sz w:val="24"/>
          <w:szCs w:val="24"/>
          <w:lang w:val="fr-FR"/>
        </w:rPr>
        <w:t xml:space="preserve">Plus tardivement et à titre d’exemple, </w:t>
      </w:r>
      <w:r w:rsidRPr="00E01CCA">
        <w:rPr>
          <w:rFonts w:ascii="Times New Roman" w:hAnsi="Times New Roman"/>
          <w:sz w:val="24"/>
          <w:szCs w:val="24"/>
          <w:lang w:val="fr-FR"/>
        </w:rPr>
        <w:t xml:space="preserve">au XIXe siècle </w:t>
      </w:r>
      <w:r w:rsidR="00A617E4">
        <w:rPr>
          <w:rFonts w:ascii="Times New Roman" w:hAnsi="Times New Roman"/>
          <w:sz w:val="24"/>
          <w:szCs w:val="24"/>
          <w:lang w:val="fr-FR"/>
        </w:rPr>
        <w:t xml:space="preserve">le </w:t>
      </w:r>
      <w:r w:rsidRPr="00E01CCA">
        <w:rPr>
          <w:rFonts w:ascii="Times New Roman" w:hAnsi="Times New Roman"/>
          <w:sz w:val="24"/>
          <w:szCs w:val="24"/>
          <w:lang w:val="fr-FR"/>
        </w:rPr>
        <w:t xml:space="preserve">phénomène des </w:t>
      </w:r>
      <w:r w:rsidRPr="00E01CCA">
        <w:rPr>
          <w:rFonts w:ascii="Times New Roman" w:hAnsi="Times New Roman"/>
          <w:i/>
          <w:sz w:val="24"/>
          <w:szCs w:val="24"/>
          <w:lang w:val="fr-FR"/>
        </w:rPr>
        <w:t>revivals</w:t>
      </w:r>
      <w:r w:rsidRPr="00E01CCA">
        <w:rPr>
          <w:rFonts w:ascii="Times New Roman" w:hAnsi="Times New Roman"/>
          <w:sz w:val="24"/>
          <w:szCs w:val="24"/>
          <w:lang w:val="fr-FR"/>
        </w:rPr>
        <w:t xml:space="preserve"> historicistes </w:t>
      </w:r>
      <w:r w:rsidR="00A617E4">
        <w:rPr>
          <w:rFonts w:ascii="Times New Roman" w:hAnsi="Times New Roman"/>
          <w:sz w:val="24"/>
          <w:szCs w:val="24"/>
          <w:lang w:val="fr-FR"/>
        </w:rPr>
        <w:t>atteste</w:t>
      </w:r>
      <w:r w:rsidRPr="00E01CCA">
        <w:rPr>
          <w:rFonts w:ascii="Times New Roman" w:hAnsi="Times New Roman"/>
          <w:sz w:val="24"/>
          <w:szCs w:val="24"/>
          <w:lang w:val="fr-FR"/>
        </w:rPr>
        <w:t xml:space="preserve"> la reprise du langage gothique en Europe. Une telle tendance s’imposa d’abord en Grande-Bretagne puis se diffusa dans d’autres pays européens, parallèlement à l’intense activité de </w:t>
      </w:r>
      <w:r w:rsidRPr="00E01CCA">
        <w:rPr>
          <w:rFonts w:ascii="Times New Roman" w:hAnsi="Times New Roman"/>
          <w:sz w:val="24"/>
          <w:szCs w:val="24"/>
          <w:lang w:val="fr-FR"/>
        </w:rPr>
        <w:lastRenderedPageBreak/>
        <w:t>restauration des monuments médiévaux : en France c’est surtout Eugène Viollet-le-Duc qui en souligna la rationalité constructive. Le néogothique, devenu désormais partie intégrante de l’éclectisme historiciste, constitue une source fondamentale pour l’art nouveau jusqu’au début du XX</w:t>
      </w:r>
      <w:r w:rsidRPr="00E01CCA">
        <w:rPr>
          <w:rFonts w:ascii="Times New Roman" w:hAnsi="Times New Roman"/>
          <w:sz w:val="24"/>
          <w:szCs w:val="24"/>
          <w:vertAlign w:val="superscript"/>
          <w:lang w:val="fr-FR"/>
        </w:rPr>
        <w:t>ème</w:t>
      </w:r>
      <w:r w:rsidRPr="00E01CCA">
        <w:rPr>
          <w:rFonts w:ascii="Times New Roman" w:hAnsi="Times New Roman"/>
          <w:sz w:val="24"/>
          <w:szCs w:val="24"/>
          <w:lang w:val="fr-FR"/>
        </w:rPr>
        <w:t xml:space="preserve"> siècle.</w:t>
      </w:r>
    </w:p>
    <w:p w14:paraId="4B635FC3" w14:textId="77777777" w:rsidR="00EF12DD" w:rsidRPr="00E01CCA" w:rsidRDefault="00EF12DD" w:rsidP="00EF12DD">
      <w:pPr>
        <w:autoSpaceDE w:val="0"/>
        <w:autoSpaceDN w:val="0"/>
        <w:adjustRightInd w:val="0"/>
        <w:spacing w:after="240"/>
        <w:ind w:firstLine="708"/>
        <w:rPr>
          <w:rFonts w:ascii="Times New Roman" w:hAnsi="Times New Roman"/>
          <w:sz w:val="24"/>
          <w:szCs w:val="24"/>
          <w:lang w:val="fr-FR"/>
        </w:rPr>
      </w:pPr>
      <w:r w:rsidRPr="00E01CCA">
        <w:rPr>
          <w:rFonts w:ascii="Times New Roman" w:hAnsi="Times New Roman"/>
          <w:sz w:val="24"/>
          <w:szCs w:val="24"/>
          <w:lang w:val="fr-FR"/>
        </w:rPr>
        <w:t xml:space="preserve">La journée sera </w:t>
      </w:r>
      <w:r>
        <w:rPr>
          <w:rFonts w:ascii="Times New Roman" w:hAnsi="Times New Roman"/>
          <w:sz w:val="24"/>
          <w:szCs w:val="24"/>
          <w:lang w:val="fr-FR"/>
        </w:rPr>
        <w:t>par conséquent</w:t>
      </w:r>
      <w:r w:rsidRPr="00E01CCA">
        <w:rPr>
          <w:rFonts w:ascii="Times New Roman" w:hAnsi="Times New Roman"/>
          <w:sz w:val="24"/>
          <w:szCs w:val="24"/>
          <w:lang w:val="fr-FR"/>
        </w:rPr>
        <w:t xml:space="preserve"> consacrée à une réflexion sur la réception de l’architecture gothique comme langage flexible, </w:t>
      </w:r>
      <w:r>
        <w:rPr>
          <w:rFonts w:ascii="Times New Roman" w:hAnsi="Times New Roman"/>
          <w:sz w:val="24"/>
          <w:szCs w:val="24"/>
          <w:lang w:val="fr-FR"/>
        </w:rPr>
        <w:t>à même</w:t>
      </w:r>
      <w:r w:rsidRPr="00E01CCA">
        <w:rPr>
          <w:rFonts w:ascii="Times New Roman" w:hAnsi="Times New Roman"/>
          <w:sz w:val="24"/>
          <w:szCs w:val="24"/>
          <w:lang w:val="fr-FR"/>
        </w:rPr>
        <w:t xml:space="preserve"> de créer </w:t>
      </w:r>
      <w:r w:rsidR="00A617E4">
        <w:rPr>
          <w:rFonts w:ascii="Times New Roman" w:hAnsi="Times New Roman"/>
          <w:sz w:val="24"/>
          <w:szCs w:val="24"/>
          <w:lang w:val="fr-FR"/>
        </w:rPr>
        <w:t xml:space="preserve">de </w:t>
      </w:r>
      <w:r w:rsidRPr="00E01CCA">
        <w:rPr>
          <w:rFonts w:ascii="Times New Roman" w:hAnsi="Times New Roman"/>
          <w:sz w:val="24"/>
          <w:szCs w:val="24"/>
          <w:lang w:val="fr-FR"/>
        </w:rPr>
        <w:t>nouvelles formes artistiques : l’objectif est de conduire l’historien de l’art et de l’architecture à enquêter sur la portée et l’influence de ce phénomène dans des contextes di</w:t>
      </w:r>
      <w:r w:rsidR="00A617E4">
        <w:rPr>
          <w:rFonts w:ascii="Times New Roman" w:hAnsi="Times New Roman"/>
          <w:sz w:val="24"/>
          <w:szCs w:val="24"/>
          <w:lang w:val="fr-FR"/>
        </w:rPr>
        <w:t>fférents de celui d’origine. La journée vise</w:t>
      </w:r>
      <w:r w:rsidR="00560657">
        <w:rPr>
          <w:rFonts w:ascii="Times New Roman" w:hAnsi="Times New Roman"/>
          <w:sz w:val="24"/>
          <w:szCs w:val="24"/>
          <w:lang w:val="fr-FR"/>
        </w:rPr>
        <w:t xml:space="preserve"> ainsi</w:t>
      </w:r>
      <w:r w:rsidR="00A617E4">
        <w:rPr>
          <w:rFonts w:ascii="Times New Roman" w:hAnsi="Times New Roman"/>
          <w:sz w:val="24"/>
          <w:szCs w:val="24"/>
          <w:lang w:val="fr-FR"/>
        </w:rPr>
        <w:t xml:space="preserve"> à </w:t>
      </w:r>
      <w:r w:rsidR="00560657">
        <w:rPr>
          <w:rFonts w:ascii="Times New Roman" w:hAnsi="Times New Roman"/>
          <w:sz w:val="24"/>
          <w:szCs w:val="24"/>
          <w:lang w:val="fr-FR"/>
        </w:rPr>
        <w:t>élargir</w:t>
      </w:r>
      <w:r w:rsidRPr="00E01CCA">
        <w:rPr>
          <w:rFonts w:ascii="Times New Roman" w:hAnsi="Times New Roman"/>
          <w:sz w:val="24"/>
          <w:szCs w:val="24"/>
          <w:lang w:val="fr-FR"/>
        </w:rPr>
        <w:t xml:space="preserve"> l’analyse aux questions historiques, politiques, culturelles et urbaines, en fonction des objectifs des commanditaires et en établissant des liens entre aspects struc</w:t>
      </w:r>
      <w:r w:rsidR="00560657">
        <w:rPr>
          <w:rFonts w:ascii="Times New Roman" w:hAnsi="Times New Roman"/>
          <w:sz w:val="24"/>
          <w:szCs w:val="24"/>
          <w:lang w:val="fr-FR"/>
        </w:rPr>
        <w:t>turels, fonctionnels et formels</w:t>
      </w:r>
      <w:r w:rsidRPr="00E01CCA">
        <w:rPr>
          <w:rFonts w:ascii="Times New Roman" w:hAnsi="Times New Roman"/>
          <w:sz w:val="24"/>
          <w:szCs w:val="24"/>
          <w:lang w:val="fr-FR"/>
        </w:rPr>
        <w:t xml:space="preserve">. La journée doctorale </w:t>
      </w:r>
      <w:r w:rsidR="00A617E4">
        <w:rPr>
          <w:rFonts w:ascii="Times New Roman" w:hAnsi="Times New Roman"/>
          <w:sz w:val="24"/>
          <w:szCs w:val="24"/>
          <w:lang w:val="fr-FR"/>
        </w:rPr>
        <w:t>sera l’occasion de partager les réflexions méthodologiques,</w:t>
      </w:r>
      <w:r w:rsidRPr="00E01CCA">
        <w:rPr>
          <w:rFonts w:ascii="Times New Roman" w:hAnsi="Times New Roman"/>
          <w:sz w:val="24"/>
          <w:szCs w:val="24"/>
          <w:lang w:val="fr-FR"/>
        </w:rPr>
        <w:t xml:space="preserve"> les problématiques et les résultats des </w:t>
      </w:r>
      <w:r w:rsidR="007A7E32">
        <w:rPr>
          <w:rFonts w:ascii="Times New Roman" w:hAnsi="Times New Roman"/>
          <w:sz w:val="24"/>
          <w:szCs w:val="24"/>
          <w:lang w:val="fr-FR"/>
        </w:rPr>
        <w:t>recherches en histoire de l’architecture</w:t>
      </w:r>
      <w:r w:rsidRPr="00E01CCA">
        <w:rPr>
          <w:rFonts w:ascii="Times New Roman" w:hAnsi="Times New Roman"/>
          <w:sz w:val="24"/>
          <w:szCs w:val="24"/>
          <w:lang w:val="fr-FR"/>
        </w:rPr>
        <w:t xml:space="preserve"> de doctorants et jeunes docteurs de formations et de pays divers. </w:t>
      </w:r>
    </w:p>
    <w:p w14:paraId="3E5D995A" w14:textId="77777777" w:rsidR="00EF12DD" w:rsidRPr="00E01CCA" w:rsidRDefault="00EF12DD" w:rsidP="00EF12DD">
      <w:pPr>
        <w:autoSpaceDE w:val="0"/>
        <w:autoSpaceDN w:val="0"/>
        <w:adjustRightInd w:val="0"/>
        <w:spacing w:after="120"/>
        <w:rPr>
          <w:rFonts w:ascii="Times New Roman" w:hAnsi="Times New Roman"/>
          <w:sz w:val="24"/>
          <w:szCs w:val="24"/>
          <w:lang w:val="fr-FR"/>
        </w:rPr>
      </w:pPr>
      <w:r w:rsidRPr="00E01CCA">
        <w:rPr>
          <w:rFonts w:ascii="Times New Roman" w:hAnsi="Times New Roman"/>
          <w:sz w:val="24"/>
          <w:szCs w:val="24"/>
          <w:lang w:val="fr-FR"/>
        </w:rPr>
        <w:t xml:space="preserve">La série de </w:t>
      </w:r>
      <w:r>
        <w:rPr>
          <w:rFonts w:ascii="Times New Roman" w:hAnsi="Times New Roman"/>
          <w:sz w:val="24"/>
          <w:szCs w:val="24"/>
          <w:lang w:val="fr-FR"/>
        </w:rPr>
        <w:t>thématiques suivante</w:t>
      </w:r>
      <w:r w:rsidRPr="00E01CCA">
        <w:rPr>
          <w:rFonts w:ascii="Times New Roman" w:hAnsi="Times New Roman"/>
          <w:sz w:val="24"/>
          <w:szCs w:val="24"/>
          <w:lang w:val="fr-FR"/>
        </w:rPr>
        <w:t xml:space="preserve"> est destinée à suggérer des domaines et directions de recherche et n’a que valeur indicative :</w:t>
      </w:r>
    </w:p>
    <w:p w14:paraId="27D0DF8C" w14:textId="77777777" w:rsidR="00EF12DD" w:rsidRPr="00E01CCA" w:rsidRDefault="00EF12DD" w:rsidP="00EF12DD">
      <w:pPr>
        <w:pStyle w:val="Pardeliste"/>
        <w:numPr>
          <w:ilvl w:val="0"/>
          <w:numId w:val="1"/>
        </w:numPr>
        <w:autoSpaceDE w:val="0"/>
        <w:autoSpaceDN w:val="0"/>
        <w:adjustRightInd w:val="0"/>
        <w:rPr>
          <w:rFonts w:ascii="Times New Roman" w:hAnsi="Times New Roman" w:cs="Times New Roman"/>
          <w:lang w:val="fr-FR"/>
        </w:rPr>
      </w:pPr>
      <w:r w:rsidRPr="00E01CCA">
        <w:rPr>
          <w:rFonts w:ascii="Times New Roman" w:hAnsi="Times New Roman" w:cs="Times New Roman"/>
          <w:lang w:val="fr-FR"/>
        </w:rPr>
        <w:t>Techniques et matériaux de l’Architecture gothique : innovations structurelles, continuité et rupture avec le passé</w:t>
      </w:r>
    </w:p>
    <w:p w14:paraId="131CCD23" w14:textId="77777777" w:rsidR="00EF12DD" w:rsidRPr="00E01CCA" w:rsidRDefault="00EF12DD" w:rsidP="00EF12DD">
      <w:pPr>
        <w:pStyle w:val="Pardeliste"/>
        <w:numPr>
          <w:ilvl w:val="0"/>
          <w:numId w:val="1"/>
        </w:numPr>
        <w:autoSpaceDE w:val="0"/>
        <w:autoSpaceDN w:val="0"/>
        <w:adjustRightInd w:val="0"/>
        <w:rPr>
          <w:rFonts w:ascii="Times New Roman" w:hAnsi="Times New Roman" w:cs="Times New Roman"/>
          <w:lang w:val="fr-FR"/>
        </w:rPr>
      </w:pPr>
      <w:r w:rsidRPr="00E01CCA">
        <w:rPr>
          <w:rFonts w:ascii="Times New Roman" w:hAnsi="Times New Roman" w:cs="Times New Roman"/>
          <w:lang w:val="fr-FR"/>
        </w:rPr>
        <w:t>Cathédrale gothique et différentes formes locales en France</w:t>
      </w:r>
    </w:p>
    <w:p w14:paraId="52F671EF" w14:textId="77777777" w:rsidR="00EF12DD" w:rsidRPr="00E01CCA" w:rsidRDefault="00EF12DD" w:rsidP="00EF12DD">
      <w:pPr>
        <w:pStyle w:val="Pardeliste"/>
        <w:numPr>
          <w:ilvl w:val="0"/>
          <w:numId w:val="1"/>
        </w:numPr>
        <w:autoSpaceDE w:val="0"/>
        <w:autoSpaceDN w:val="0"/>
        <w:adjustRightInd w:val="0"/>
        <w:rPr>
          <w:rFonts w:ascii="Times New Roman" w:hAnsi="Times New Roman" w:cs="Times New Roman"/>
          <w:lang w:val="fr-FR"/>
        </w:rPr>
      </w:pPr>
      <w:r w:rsidRPr="00E01CCA">
        <w:rPr>
          <w:rFonts w:ascii="Times New Roman" w:hAnsi="Times New Roman" w:cs="Times New Roman"/>
          <w:lang w:val="fr-FR"/>
        </w:rPr>
        <w:t>Gothique français et sa diffusion en Europe</w:t>
      </w:r>
    </w:p>
    <w:p w14:paraId="537DBCD5" w14:textId="77777777" w:rsidR="00EF12DD" w:rsidRPr="00E01CCA" w:rsidRDefault="00EF12DD" w:rsidP="00EF12DD">
      <w:pPr>
        <w:pStyle w:val="Pardeliste"/>
        <w:numPr>
          <w:ilvl w:val="0"/>
          <w:numId w:val="1"/>
        </w:numPr>
        <w:autoSpaceDE w:val="0"/>
        <w:autoSpaceDN w:val="0"/>
        <w:adjustRightInd w:val="0"/>
        <w:rPr>
          <w:rFonts w:ascii="Times New Roman" w:hAnsi="Times New Roman" w:cs="Times New Roman"/>
          <w:lang w:val="fr-FR"/>
        </w:rPr>
      </w:pPr>
      <w:r w:rsidRPr="00E01CCA">
        <w:rPr>
          <w:rFonts w:ascii="Times New Roman" w:hAnsi="Times New Roman" w:cs="Times New Roman"/>
          <w:lang w:val="fr-FR"/>
        </w:rPr>
        <w:t>Gothique flamboyant et Renaissance : dialectique entre survivances structurelles et décor « à l’antique »</w:t>
      </w:r>
    </w:p>
    <w:p w14:paraId="19C21D82" w14:textId="77777777" w:rsidR="00EF12DD" w:rsidRPr="00E01CCA" w:rsidRDefault="00EF12DD" w:rsidP="00EF12DD">
      <w:pPr>
        <w:pStyle w:val="Pardeliste"/>
        <w:numPr>
          <w:ilvl w:val="0"/>
          <w:numId w:val="1"/>
        </w:numPr>
        <w:autoSpaceDE w:val="0"/>
        <w:autoSpaceDN w:val="0"/>
        <w:adjustRightInd w:val="0"/>
        <w:rPr>
          <w:rFonts w:ascii="Times New Roman" w:hAnsi="Times New Roman" w:cs="Times New Roman"/>
          <w:lang w:val="fr-FR"/>
        </w:rPr>
      </w:pPr>
      <w:r w:rsidRPr="00E01CCA">
        <w:rPr>
          <w:rFonts w:ascii="Times New Roman" w:hAnsi="Times New Roman" w:cs="Times New Roman"/>
          <w:lang w:val="fr-FR"/>
        </w:rPr>
        <w:t>Réception du Gothique après le Gothique : survivance et renouveau néogothique</w:t>
      </w:r>
    </w:p>
    <w:p w14:paraId="46F2CDCE" w14:textId="77777777" w:rsidR="00EF12DD" w:rsidRPr="009C57B3" w:rsidRDefault="00EF12DD" w:rsidP="00EF12DD">
      <w:pPr>
        <w:pStyle w:val="Pardeliste"/>
        <w:numPr>
          <w:ilvl w:val="0"/>
          <w:numId w:val="1"/>
        </w:numPr>
        <w:autoSpaceDE w:val="0"/>
        <w:autoSpaceDN w:val="0"/>
        <w:adjustRightInd w:val="0"/>
        <w:rPr>
          <w:rFonts w:ascii="Times New Roman" w:hAnsi="Times New Roman" w:cs="Times New Roman"/>
          <w:lang w:val="fr-FR"/>
        </w:rPr>
      </w:pPr>
      <w:r w:rsidRPr="009C57B3">
        <w:rPr>
          <w:rFonts w:ascii="Times New Roman" w:hAnsi="Times New Roman" w:cs="Times New Roman"/>
          <w:lang w:val="fr-FR"/>
        </w:rPr>
        <w:t>L’architecture gothique</w:t>
      </w:r>
      <w:r>
        <w:rPr>
          <w:rFonts w:ascii="Times New Roman" w:hAnsi="Times New Roman" w:cs="Times New Roman"/>
          <w:lang w:val="fr-FR"/>
        </w:rPr>
        <w:t>, sa</w:t>
      </w:r>
      <w:r w:rsidRPr="009C57B3">
        <w:rPr>
          <w:rFonts w:ascii="Times New Roman" w:hAnsi="Times New Roman" w:cs="Times New Roman"/>
          <w:lang w:val="fr-FR"/>
        </w:rPr>
        <w:t> restauration</w:t>
      </w:r>
      <w:r>
        <w:rPr>
          <w:rFonts w:ascii="Times New Roman" w:hAnsi="Times New Roman" w:cs="Times New Roman"/>
          <w:lang w:val="fr-FR"/>
        </w:rPr>
        <w:t xml:space="preserve"> ou sa réutilisation contemporaine</w:t>
      </w:r>
    </w:p>
    <w:p w14:paraId="6BCE3FE9" w14:textId="77777777" w:rsidR="00EF12DD" w:rsidRPr="009C57B3" w:rsidRDefault="00EF12DD" w:rsidP="00EF12DD">
      <w:pPr>
        <w:pStyle w:val="Pardeliste"/>
        <w:numPr>
          <w:ilvl w:val="0"/>
          <w:numId w:val="1"/>
        </w:numPr>
        <w:autoSpaceDE w:val="0"/>
        <w:autoSpaceDN w:val="0"/>
        <w:adjustRightInd w:val="0"/>
        <w:rPr>
          <w:rFonts w:ascii="Times New Roman" w:hAnsi="Times New Roman" w:cs="Times New Roman"/>
          <w:lang w:val="fr-FR"/>
        </w:rPr>
      </w:pPr>
      <w:r w:rsidRPr="009C57B3">
        <w:rPr>
          <w:rFonts w:ascii="Times New Roman" w:hAnsi="Times New Roman" w:cs="Times New Roman"/>
          <w:lang w:val="fr-FR"/>
        </w:rPr>
        <w:t xml:space="preserve">L’architecture gothique intégrée dans les autres formes de l’art visuels (peinture, gravure, sculpture), sémantique visuelle et </w:t>
      </w:r>
      <w:r w:rsidRPr="009C57B3">
        <w:rPr>
          <w:rFonts w:ascii="Times New Roman" w:hAnsi="Times New Roman" w:cs="Times New Roman"/>
          <w:i/>
          <w:lang w:val="fr-FR"/>
        </w:rPr>
        <w:t>revival</w:t>
      </w:r>
      <w:r w:rsidRPr="009C57B3">
        <w:rPr>
          <w:rFonts w:ascii="Times New Roman" w:hAnsi="Times New Roman" w:cs="Times New Roman"/>
          <w:lang w:val="fr-FR"/>
        </w:rPr>
        <w:t>.</w:t>
      </w:r>
    </w:p>
    <w:p w14:paraId="6276B2F2" w14:textId="77777777" w:rsidR="00EF12DD" w:rsidRPr="00E01CCA" w:rsidRDefault="00EF12DD" w:rsidP="00EF12DD">
      <w:pPr>
        <w:pStyle w:val="Pardeliste"/>
        <w:autoSpaceDE w:val="0"/>
        <w:autoSpaceDN w:val="0"/>
        <w:adjustRightInd w:val="0"/>
        <w:rPr>
          <w:rFonts w:ascii="Times New Roman" w:hAnsi="Times New Roman" w:cs="Times New Roman"/>
          <w:lang w:val="fr-FR"/>
        </w:rPr>
      </w:pPr>
    </w:p>
    <w:p w14:paraId="7EBBDDEE" w14:textId="77777777" w:rsidR="00EF12DD" w:rsidRPr="00E01CCA" w:rsidRDefault="00EF12DD" w:rsidP="00EF12DD">
      <w:pPr>
        <w:autoSpaceDE w:val="0"/>
        <w:autoSpaceDN w:val="0"/>
        <w:adjustRightInd w:val="0"/>
        <w:rPr>
          <w:rFonts w:ascii="Times New Roman" w:hAnsi="Times New Roman"/>
          <w:sz w:val="24"/>
          <w:szCs w:val="24"/>
          <w:lang w:val="fr-FR"/>
        </w:rPr>
      </w:pPr>
    </w:p>
    <w:p w14:paraId="083DE282" w14:textId="77777777" w:rsidR="00EF12DD" w:rsidRDefault="00EF12DD" w:rsidP="00EF12DD">
      <w:pPr>
        <w:autoSpaceDE w:val="0"/>
        <w:autoSpaceDN w:val="0"/>
        <w:adjustRightInd w:val="0"/>
        <w:rPr>
          <w:rFonts w:ascii="Times New Roman" w:hAnsi="Times New Roman"/>
          <w:sz w:val="24"/>
          <w:szCs w:val="24"/>
          <w:lang w:val="fr-FR"/>
        </w:rPr>
      </w:pPr>
      <w:r w:rsidRPr="009C57B3">
        <w:rPr>
          <w:rFonts w:ascii="Times New Roman" w:hAnsi="Times New Roman"/>
          <w:sz w:val="24"/>
          <w:szCs w:val="24"/>
          <w:lang w:val="fr-FR"/>
        </w:rPr>
        <w:t xml:space="preserve">La journée donnera la priorité aux interventions des doctorants et jeunes docteurs. </w:t>
      </w:r>
      <w:r>
        <w:rPr>
          <w:rFonts w:ascii="Times New Roman" w:hAnsi="Times New Roman"/>
          <w:sz w:val="24"/>
          <w:szCs w:val="24"/>
          <w:lang w:val="fr-FR"/>
        </w:rPr>
        <w:t>Elle se déroulera le 10 mars 2018 au Centre André Chastel (INHA, 2, rue Vivienne, 75002 Paris).</w:t>
      </w:r>
    </w:p>
    <w:p w14:paraId="1EF361E6" w14:textId="77777777" w:rsidR="00490E48" w:rsidRDefault="00490E48" w:rsidP="00EF12DD">
      <w:pPr>
        <w:autoSpaceDE w:val="0"/>
        <w:autoSpaceDN w:val="0"/>
        <w:adjustRightInd w:val="0"/>
        <w:rPr>
          <w:rFonts w:ascii="Times New Roman" w:hAnsi="Times New Roman"/>
          <w:sz w:val="24"/>
          <w:szCs w:val="24"/>
          <w:lang w:val="fr-FR"/>
        </w:rPr>
      </w:pPr>
      <w:bookmarkStart w:id="2" w:name="_GoBack"/>
      <w:bookmarkEnd w:id="2"/>
    </w:p>
    <w:p w14:paraId="49275032" w14:textId="77777777" w:rsidR="00EF12DD" w:rsidRPr="00E01CCA" w:rsidRDefault="00EF12DD" w:rsidP="00EF12DD">
      <w:pPr>
        <w:autoSpaceDE w:val="0"/>
        <w:autoSpaceDN w:val="0"/>
        <w:adjustRightInd w:val="0"/>
        <w:rPr>
          <w:rFonts w:ascii="Times New Roman" w:hAnsi="Times New Roman"/>
          <w:sz w:val="24"/>
          <w:szCs w:val="24"/>
          <w:lang w:val="fr-FR"/>
        </w:rPr>
      </w:pPr>
      <w:r w:rsidRPr="009C57B3">
        <w:rPr>
          <w:rFonts w:ascii="Times New Roman" w:hAnsi="Times New Roman"/>
          <w:sz w:val="24"/>
          <w:szCs w:val="24"/>
          <w:lang w:val="fr-FR"/>
        </w:rPr>
        <w:t>Les propositions de communication (300 mots maximum</w:t>
      </w:r>
      <w:r w:rsidRPr="007F796B">
        <w:rPr>
          <w:rFonts w:ascii="Times New Roman" w:hAnsi="Times New Roman"/>
          <w:sz w:val="24"/>
          <w:szCs w:val="24"/>
          <w:lang w:val="fr-FR"/>
        </w:rPr>
        <w:t xml:space="preserve">), en français ou en </w:t>
      </w:r>
      <w:r>
        <w:rPr>
          <w:rFonts w:ascii="Times New Roman" w:hAnsi="Times New Roman"/>
          <w:sz w:val="24"/>
          <w:szCs w:val="24"/>
          <w:lang w:val="fr-FR"/>
        </w:rPr>
        <w:t>anglais</w:t>
      </w:r>
      <w:r w:rsidRPr="007F796B">
        <w:rPr>
          <w:rFonts w:ascii="Times New Roman" w:hAnsi="Times New Roman"/>
          <w:sz w:val="24"/>
          <w:szCs w:val="24"/>
          <w:lang w:val="fr-FR"/>
        </w:rPr>
        <w:t>, accompagnées d’un bref curriculum vitae (2 pages maximum), sont à envoyer, le</w:t>
      </w:r>
      <w:r w:rsidRPr="007F796B">
        <w:rPr>
          <w:rFonts w:ascii="Times New Roman" w:hAnsi="Times New Roman"/>
          <w:b/>
          <w:sz w:val="24"/>
          <w:szCs w:val="24"/>
          <w:lang w:val="fr-FR"/>
        </w:rPr>
        <w:t xml:space="preserve"> </w:t>
      </w:r>
      <w:r>
        <w:rPr>
          <w:rFonts w:ascii="Times New Roman" w:hAnsi="Times New Roman"/>
          <w:b/>
          <w:sz w:val="24"/>
          <w:szCs w:val="24"/>
          <w:lang w:val="fr-FR"/>
        </w:rPr>
        <w:t>15</w:t>
      </w:r>
      <w:r w:rsidRPr="007F796B">
        <w:rPr>
          <w:rFonts w:ascii="Times New Roman" w:hAnsi="Times New Roman"/>
          <w:b/>
          <w:sz w:val="24"/>
          <w:szCs w:val="24"/>
          <w:lang w:val="fr-FR"/>
        </w:rPr>
        <w:t>/</w:t>
      </w:r>
      <w:r>
        <w:rPr>
          <w:rFonts w:ascii="Times New Roman" w:hAnsi="Times New Roman"/>
          <w:b/>
          <w:sz w:val="24"/>
          <w:szCs w:val="24"/>
          <w:lang w:val="fr-FR"/>
        </w:rPr>
        <w:t>11</w:t>
      </w:r>
      <w:r w:rsidRPr="007F796B">
        <w:rPr>
          <w:rFonts w:ascii="Times New Roman" w:hAnsi="Times New Roman"/>
          <w:b/>
          <w:sz w:val="24"/>
          <w:szCs w:val="24"/>
          <w:lang w:val="fr-FR"/>
        </w:rPr>
        <w:t>/2017</w:t>
      </w:r>
      <w:r w:rsidRPr="007F796B">
        <w:rPr>
          <w:rFonts w:ascii="Times New Roman" w:hAnsi="Times New Roman"/>
          <w:sz w:val="24"/>
          <w:szCs w:val="24"/>
          <w:lang w:val="fr-FR"/>
        </w:rPr>
        <w:t xml:space="preserve"> au plus tard, à Camilla </w:t>
      </w:r>
      <w:proofErr w:type="spellStart"/>
      <w:r w:rsidRPr="007F796B">
        <w:rPr>
          <w:rFonts w:ascii="Times New Roman" w:hAnsi="Times New Roman"/>
          <w:sz w:val="24"/>
          <w:szCs w:val="24"/>
          <w:lang w:val="fr-FR"/>
        </w:rPr>
        <w:t>Cecc</w:t>
      </w:r>
      <w:r w:rsidRPr="00E01CCA">
        <w:rPr>
          <w:rFonts w:ascii="Times New Roman" w:hAnsi="Times New Roman"/>
          <w:sz w:val="24"/>
          <w:szCs w:val="24"/>
          <w:lang w:val="fr-FR"/>
        </w:rPr>
        <w:t>otti</w:t>
      </w:r>
      <w:proofErr w:type="spellEnd"/>
      <w:r w:rsidRPr="00E01CCA">
        <w:rPr>
          <w:rFonts w:ascii="Times New Roman" w:hAnsi="Times New Roman"/>
          <w:sz w:val="24"/>
          <w:szCs w:val="24"/>
          <w:lang w:val="fr-FR"/>
        </w:rPr>
        <w:t xml:space="preserve"> et Emanuele </w:t>
      </w:r>
      <w:proofErr w:type="spellStart"/>
      <w:r w:rsidRPr="00E01CCA">
        <w:rPr>
          <w:rFonts w:ascii="Times New Roman" w:hAnsi="Times New Roman"/>
          <w:sz w:val="24"/>
          <w:szCs w:val="24"/>
          <w:lang w:val="fr-FR"/>
        </w:rPr>
        <w:t>Gallotta</w:t>
      </w:r>
      <w:proofErr w:type="spellEnd"/>
      <w:r w:rsidRPr="00E01CCA">
        <w:rPr>
          <w:rFonts w:ascii="Times New Roman" w:hAnsi="Times New Roman"/>
          <w:sz w:val="24"/>
          <w:szCs w:val="24"/>
          <w:lang w:val="fr-FR"/>
        </w:rPr>
        <w:t xml:space="preserve"> aux adresses suivantes : </w:t>
      </w:r>
      <w:r w:rsidRPr="00E01CCA">
        <w:rPr>
          <w:rFonts w:ascii="Times New Roman" w:hAnsi="Times New Roman"/>
          <w:sz w:val="24"/>
          <w:szCs w:val="24"/>
          <w:lang w:val="fr-FR"/>
        </w:rPr>
        <w:softHyphen/>
      </w:r>
      <w:r w:rsidRPr="00E01CCA">
        <w:rPr>
          <w:rFonts w:ascii="Times New Roman" w:hAnsi="Times New Roman"/>
          <w:sz w:val="24"/>
          <w:szCs w:val="24"/>
          <w:lang w:val="fr-FR"/>
        </w:rPr>
        <w:softHyphen/>
      </w:r>
      <w:r w:rsidRPr="00E01CCA">
        <w:rPr>
          <w:rFonts w:ascii="Times New Roman" w:hAnsi="Times New Roman"/>
          <w:sz w:val="24"/>
          <w:szCs w:val="24"/>
          <w:lang w:val="fr-FR"/>
        </w:rPr>
        <w:softHyphen/>
      </w:r>
      <w:r w:rsidRPr="00E01CCA">
        <w:rPr>
          <w:rFonts w:ascii="Times New Roman" w:hAnsi="Times New Roman"/>
          <w:sz w:val="24"/>
          <w:szCs w:val="24"/>
          <w:lang w:val="fr-FR"/>
        </w:rPr>
        <w:softHyphen/>
      </w:r>
      <w:r w:rsidRPr="00E01CCA">
        <w:rPr>
          <w:rFonts w:ascii="Times New Roman" w:hAnsi="Times New Roman"/>
          <w:sz w:val="24"/>
          <w:szCs w:val="24"/>
          <w:lang w:val="fr-FR"/>
        </w:rPr>
        <w:softHyphen/>
      </w:r>
      <w:r w:rsidRPr="00E01CCA">
        <w:rPr>
          <w:rFonts w:ascii="Times New Roman" w:hAnsi="Times New Roman"/>
          <w:sz w:val="24"/>
          <w:szCs w:val="24"/>
          <w:lang w:val="fr-FR"/>
        </w:rPr>
        <w:softHyphen/>
      </w:r>
    </w:p>
    <w:p w14:paraId="043C6622" w14:textId="77777777" w:rsidR="00EF12DD" w:rsidRPr="00F31989" w:rsidRDefault="00A535A2" w:rsidP="00EF12DD">
      <w:pPr>
        <w:autoSpaceDE w:val="0"/>
        <w:autoSpaceDN w:val="0"/>
        <w:adjustRightInd w:val="0"/>
        <w:rPr>
          <w:rStyle w:val="Lienhypertexte"/>
          <w:rFonts w:ascii="Times New Roman" w:hAnsi="Times New Roman"/>
          <w:sz w:val="24"/>
          <w:szCs w:val="24"/>
          <w:lang w:val="fr-FR"/>
        </w:rPr>
      </w:pPr>
      <w:hyperlink r:id="rId6" w:history="1">
        <w:r w:rsidR="00EF12DD" w:rsidRPr="00F31989">
          <w:rPr>
            <w:rStyle w:val="Lienhypertexte"/>
            <w:rFonts w:ascii="Times New Roman" w:eastAsiaTheme="minorHAnsi" w:hAnsi="Times New Roman"/>
            <w:sz w:val="24"/>
            <w:szCs w:val="24"/>
            <w:lang w:val="fr-FR"/>
          </w:rPr>
          <w:t>camilla.ceccotti@uniroma1.it</w:t>
        </w:r>
      </w:hyperlink>
    </w:p>
    <w:p w14:paraId="1C26E345" w14:textId="77777777" w:rsidR="00EF12DD" w:rsidRPr="00F31989" w:rsidRDefault="00A535A2" w:rsidP="00EF12DD">
      <w:pPr>
        <w:autoSpaceDE w:val="0"/>
        <w:autoSpaceDN w:val="0"/>
        <w:adjustRightInd w:val="0"/>
        <w:rPr>
          <w:rFonts w:ascii="Times New Roman" w:hAnsi="Times New Roman"/>
          <w:sz w:val="24"/>
          <w:szCs w:val="24"/>
          <w:lang w:val="fr-FR"/>
        </w:rPr>
      </w:pPr>
      <w:hyperlink r:id="rId7" w:history="1">
        <w:r w:rsidR="00EF12DD" w:rsidRPr="00F31989">
          <w:rPr>
            <w:rStyle w:val="Lienhypertexte"/>
            <w:rFonts w:ascii="Times New Roman" w:eastAsiaTheme="minorHAnsi" w:hAnsi="Times New Roman"/>
            <w:sz w:val="24"/>
            <w:szCs w:val="24"/>
            <w:lang w:val="fr-FR"/>
          </w:rPr>
          <w:t>emanuele.gallotta@uniroma1.it</w:t>
        </w:r>
      </w:hyperlink>
    </w:p>
    <w:p w14:paraId="1AE99B65" w14:textId="77777777" w:rsidR="00EF12DD" w:rsidRDefault="00EF12DD" w:rsidP="00EF12DD">
      <w:pPr>
        <w:autoSpaceDE w:val="0"/>
        <w:autoSpaceDN w:val="0"/>
        <w:adjustRightInd w:val="0"/>
        <w:rPr>
          <w:rFonts w:ascii="Times New Roman" w:hAnsi="Times New Roman"/>
          <w:sz w:val="24"/>
          <w:szCs w:val="24"/>
          <w:lang w:val="fr-FR"/>
        </w:rPr>
      </w:pPr>
    </w:p>
    <w:p w14:paraId="0EFB368E" w14:textId="77777777" w:rsidR="00EF12DD" w:rsidRPr="001937BE" w:rsidRDefault="00EF12DD" w:rsidP="00EF12DD">
      <w:pPr>
        <w:rPr>
          <w:rFonts w:ascii="Times New Roman" w:hAnsi="Times New Roman"/>
          <w:sz w:val="24"/>
          <w:szCs w:val="24"/>
          <w:lang w:val="fr-FR"/>
        </w:rPr>
      </w:pPr>
    </w:p>
    <w:p w14:paraId="5668964A" w14:textId="77777777" w:rsidR="00EF12DD" w:rsidRPr="001937BE" w:rsidRDefault="00EF12DD" w:rsidP="00EF12DD">
      <w:pPr>
        <w:rPr>
          <w:rFonts w:ascii="Times New Roman" w:hAnsi="Times New Roman"/>
          <w:sz w:val="24"/>
          <w:szCs w:val="24"/>
          <w:lang w:val="fr-FR"/>
        </w:rPr>
      </w:pPr>
    </w:p>
    <w:p w14:paraId="055A7146" w14:textId="77777777" w:rsidR="00986D09" w:rsidRPr="00EF12DD" w:rsidRDefault="00986D09">
      <w:pPr>
        <w:rPr>
          <w:lang w:val="fr-FR"/>
        </w:rPr>
      </w:pPr>
    </w:p>
    <w:sectPr w:rsidR="00986D09" w:rsidRPr="00EF12DD" w:rsidSect="002477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65ADE"/>
    <w:multiLevelType w:val="hybridMultilevel"/>
    <w:tmpl w:val="3B76A356"/>
    <w:lvl w:ilvl="0" w:tplc="08748802">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DD"/>
    <w:rsid w:val="000C4A0A"/>
    <w:rsid w:val="00490E48"/>
    <w:rsid w:val="00560657"/>
    <w:rsid w:val="007A7E32"/>
    <w:rsid w:val="00986D09"/>
    <w:rsid w:val="00A535A2"/>
    <w:rsid w:val="00A617E4"/>
    <w:rsid w:val="00BD268C"/>
    <w:rsid w:val="00EF12DD"/>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532C"/>
  <w15:chartTrackingRefBased/>
  <w15:docId w15:val="{F6D9862F-504E-4B27-8997-5D890B42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bCs/>
        <w:sz w:val="24"/>
        <w:szCs w:val="24"/>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2DD"/>
    <w:pPr>
      <w:spacing w:after="0" w:line="240" w:lineRule="auto"/>
      <w:jc w:val="both"/>
    </w:pPr>
    <w:rPr>
      <w:rFonts w:ascii="Calibri" w:eastAsia="Calibri" w:hAnsi="Calibri" w:cs="Times New Roman"/>
      <w:bCs w:val="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rsid w:val="00EF12DD"/>
    <w:pPr>
      <w:ind w:left="720"/>
      <w:contextualSpacing/>
      <w:jc w:val="left"/>
    </w:pPr>
    <w:rPr>
      <w:rFonts w:asciiTheme="minorHAnsi" w:eastAsiaTheme="minorEastAsia" w:hAnsiTheme="minorHAnsi" w:cstheme="minorBidi"/>
      <w:sz w:val="24"/>
      <w:szCs w:val="24"/>
      <w:lang w:val="en-GB" w:eastAsia="fr-FR"/>
    </w:rPr>
  </w:style>
  <w:style w:type="character" w:styleId="Lienhypertexte">
    <w:name w:val="Hyperlink"/>
    <w:basedOn w:val="Policepardfaut"/>
    <w:uiPriority w:val="99"/>
    <w:unhideWhenUsed/>
    <w:rsid w:val="00EF12DD"/>
    <w:rPr>
      <w:color w:val="0563C1" w:themeColor="hyperlink"/>
      <w:u w:val="single"/>
    </w:rPr>
  </w:style>
  <w:style w:type="paragraph" w:styleId="Normalweb">
    <w:name w:val="Normal (Web)"/>
    <w:basedOn w:val="Normal"/>
    <w:uiPriority w:val="99"/>
    <w:unhideWhenUsed/>
    <w:rsid w:val="00EF12DD"/>
    <w:pPr>
      <w:spacing w:before="100" w:beforeAutospacing="1" w:after="100" w:afterAutospacing="1"/>
      <w:jc w:val="left"/>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camilla.ceccotti@uniroma1.it" TargetMode="External"/><Relationship Id="rId7" Type="http://schemas.openxmlformats.org/officeDocument/2006/relationships/hyperlink" Target="mailto:emanuele.gallotta@uniroma1.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4389</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Ceccotti</dc:creator>
  <cp:keywords/>
  <dc:description/>
  <cp:lastModifiedBy>AFK</cp:lastModifiedBy>
  <cp:revision>2</cp:revision>
  <cp:lastPrinted>2017-09-20T12:16:00Z</cp:lastPrinted>
  <dcterms:created xsi:type="dcterms:W3CDTF">2017-09-20T12:22:00Z</dcterms:created>
  <dcterms:modified xsi:type="dcterms:W3CDTF">2017-09-20T12:22:00Z</dcterms:modified>
</cp:coreProperties>
</file>