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54B8" w:rsidRDefault="00A054B8" w:rsidP="00A054B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color w:val="000000"/>
          <w:sz w:val="24"/>
          <w:szCs w:val="24"/>
        </w:rPr>
      </w:pPr>
      <w:r w:rsidRPr="00A054B8">
        <w:rPr>
          <w:rFonts w:ascii="TimesNewRomanPSMT" w:hAnsi="TimesNewRomanPSMT" w:cs="TimesNewRomanPSMT"/>
          <w:b/>
          <w:color w:val="939393"/>
          <w:sz w:val="26"/>
          <w:szCs w:val="26"/>
        </w:rPr>
        <w:t>Bibliographie sélective</w:t>
      </w:r>
      <w:bookmarkStart w:id="0" w:name="_GoBack"/>
      <w:bookmarkEnd w:id="0"/>
    </w:p>
    <w:p w:rsidR="00A054B8" w:rsidRPr="00A054B8" w:rsidRDefault="00A054B8" w:rsidP="00A054B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color w:val="000000"/>
          <w:sz w:val="24"/>
          <w:szCs w:val="24"/>
        </w:rPr>
      </w:pPr>
    </w:p>
    <w:p w:rsidR="00A054B8" w:rsidRDefault="00A054B8" w:rsidP="00A054B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 xml:space="preserve">BARON, </w:t>
      </w:r>
      <w:proofErr w:type="spellStart"/>
      <w:r>
        <w:rPr>
          <w:rFonts w:ascii="TimesNewRomanPSMT" w:hAnsi="TimesNewRomanPSMT" w:cs="TimesNewRomanPSMT"/>
          <w:color w:val="000000"/>
        </w:rPr>
        <w:t>Konstanze</w:t>
      </w:r>
      <w:proofErr w:type="spellEnd"/>
      <w:r>
        <w:rPr>
          <w:rFonts w:ascii="TimesNewRomanPSMT" w:hAnsi="TimesNewRomanPSMT" w:cs="TimesNewRomanPSMT"/>
          <w:color w:val="000000"/>
        </w:rPr>
        <w:t xml:space="preserve">, « Le temps du génie » in </w:t>
      </w:r>
      <w:r>
        <w:rPr>
          <w:rFonts w:ascii="TimesNewRomanPS-ItalicMT" w:hAnsi="TimesNewRomanPS-ItalicMT" w:cs="TimesNewRomanPS-ItalicMT"/>
          <w:i/>
          <w:iCs/>
          <w:color w:val="000000"/>
        </w:rPr>
        <w:t>Diderot et le temps</w:t>
      </w:r>
      <w:r>
        <w:rPr>
          <w:rFonts w:ascii="TimesNewRomanPSMT" w:hAnsi="TimesNewRomanPSMT" w:cs="TimesNewRomanPSMT"/>
          <w:color w:val="000000"/>
        </w:rPr>
        <w:t xml:space="preserve">, Stéphane </w:t>
      </w:r>
      <w:proofErr w:type="spellStart"/>
      <w:r>
        <w:rPr>
          <w:rFonts w:ascii="TimesNewRomanPSMT" w:hAnsi="TimesNewRomanPSMT" w:cs="TimesNewRomanPSMT"/>
          <w:color w:val="000000"/>
        </w:rPr>
        <w:t>Lojkine</w:t>
      </w:r>
      <w:proofErr w:type="spellEnd"/>
      <w:r>
        <w:rPr>
          <w:rFonts w:ascii="TimesNewRomanPSMT" w:hAnsi="TimesNewRomanPSMT" w:cs="TimesNewRomanPSMT"/>
          <w:color w:val="000000"/>
        </w:rPr>
        <w:t xml:space="preserve"> (</w:t>
      </w:r>
      <w:proofErr w:type="spellStart"/>
      <w:r>
        <w:rPr>
          <w:rFonts w:ascii="TimesNewRomanPSMT" w:hAnsi="TimesNewRomanPSMT" w:cs="TimesNewRomanPSMT"/>
          <w:color w:val="000000"/>
        </w:rPr>
        <w:t>dir</w:t>
      </w:r>
      <w:proofErr w:type="spellEnd"/>
      <w:r>
        <w:rPr>
          <w:rFonts w:ascii="TimesNewRomanPSMT" w:hAnsi="TimesNewRomanPSMT" w:cs="TimesNewRomanPSMT"/>
          <w:color w:val="000000"/>
        </w:rPr>
        <w:t xml:space="preserve">.), Adrien </w:t>
      </w:r>
      <w:proofErr w:type="spellStart"/>
      <w:r>
        <w:rPr>
          <w:rFonts w:ascii="TimesNewRomanPSMT" w:hAnsi="TimesNewRomanPSMT" w:cs="TimesNewRomanPSMT"/>
          <w:color w:val="000000"/>
        </w:rPr>
        <w:t>Paschoud</w:t>
      </w:r>
      <w:proofErr w:type="spellEnd"/>
    </w:p>
    <w:p w:rsidR="00A054B8" w:rsidRDefault="00A054B8" w:rsidP="00A054B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>(</w:t>
      </w:r>
      <w:proofErr w:type="spellStart"/>
      <w:proofErr w:type="gramStart"/>
      <w:r>
        <w:rPr>
          <w:rFonts w:ascii="TimesNewRomanPSMT" w:hAnsi="TimesNewRomanPSMT" w:cs="TimesNewRomanPSMT"/>
          <w:color w:val="000000"/>
        </w:rPr>
        <w:t>dir</w:t>
      </w:r>
      <w:proofErr w:type="spellEnd"/>
      <w:r>
        <w:rPr>
          <w:rFonts w:ascii="TimesNewRomanPSMT" w:hAnsi="TimesNewRomanPSMT" w:cs="TimesNewRomanPSMT"/>
          <w:color w:val="000000"/>
        </w:rPr>
        <w:t>.</w:t>
      </w:r>
      <w:proofErr w:type="gramEnd"/>
      <w:r>
        <w:rPr>
          <w:rFonts w:ascii="TimesNewRomanPSMT" w:hAnsi="TimesNewRomanPSMT" w:cs="TimesNewRomanPSMT"/>
          <w:color w:val="000000"/>
        </w:rPr>
        <w:t>), Aix-en-Provence, éd. Presses universitaires de Provence, 2016, p. 275-289</w:t>
      </w:r>
    </w:p>
    <w:p w:rsidR="00A054B8" w:rsidRDefault="00A054B8" w:rsidP="00A054B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 xml:space="preserve">BATINI, Ugo, RIGUET, Marine, </w:t>
      </w:r>
      <w:r>
        <w:rPr>
          <w:rFonts w:ascii="TimesNewRomanPS-ItalicMT" w:hAnsi="TimesNewRomanPS-ItalicMT" w:cs="TimesNewRomanPS-ItalicMT"/>
          <w:i/>
          <w:iCs/>
          <w:color w:val="000000"/>
        </w:rPr>
        <w:t>Le génie au XIXe siècle, anatomie d'un monstre</w:t>
      </w:r>
      <w:r>
        <w:rPr>
          <w:rFonts w:ascii="TimesNewRomanPSMT" w:hAnsi="TimesNewRomanPSMT" w:cs="TimesNewRomanPSMT"/>
          <w:color w:val="000000"/>
        </w:rPr>
        <w:t>, Paris, éd. Classiques</w:t>
      </w:r>
    </w:p>
    <w:p w:rsidR="00A054B8" w:rsidRDefault="00A054B8" w:rsidP="00A054B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>Garnier, 2020</w:t>
      </w:r>
    </w:p>
    <w:p w:rsidR="00A054B8" w:rsidRDefault="00A054B8" w:rsidP="00A054B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 xml:space="preserve">BLANCHARD, Anne, </w:t>
      </w:r>
      <w:r>
        <w:rPr>
          <w:rFonts w:ascii="TimesNewRomanPS-ItalicMT" w:hAnsi="TimesNewRomanPS-ItalicMT" w:cs="TimesNewRomanPS-ItalicMT"/>
          <w:i/>
          <w:iCs/>
          <w:color w:val="000000"/>
        </w:rPr>
        <w:t>Les ingénieurs du “</w:t>
      </w:r>
      <w:proofErr w:type="spellStart"/>
      <w:r>
        <w:rPr>
          <w:rFonts w:ascii="TimesNewRomanPS-ItalicMT" w:hAnsi="TimesNewRomanPS-ItalicMT" w:cs="TimesNewRomanPS-ItalicMT"/>
          <w:i/>
          <w:iCs/>
          <w:color w:val="000000"/>
        </w:rPr>
        <w:t>roy</w:t>
      </w:r>
      <w:proofErr w:type="spellEnd"/>
      <w:r>
        <w:rPr>
          <w:rFonts w:ascii="TimesNewRomanPS-ItalicMT" w:hAnsi="TimesNewRomanPS-ItalicMT" w:cs="TimesNewRomanPS-ItalicMT"/>
          <w:i/>
          <w:iCs/>
          <w:color w:val="000000"/>
        </w:rPr>
        <w:t>” de Louis XIV à Louis XVI, étude du corps des fortifications</w:t>
      </w:r>
      <w:r>
        <w:rPr>
          <w:rFonts w:ascii="TimesNewRomanPSMT" w:hAnsi="TimesNewRomanPSMT" w:cs="TimesNewRomanPSMT"/>
          <w:color w:val="000000"/>
        </w:rPr>
        <w:t>,</w:t>
      </w:r>
    </w:p>
    <w:p w:rsidR="00A054B8" w:rsidRDefault="00A054B8" w:rsidP="00A054B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>Montpellier, éd. Université Paul Valéry de Montpellier, 1979</w:t>
      </w:r>
    </w:p>
    <w:p w:rsidR="00A054B8" w:rsidRDefault="00A054B8" w:rsidP="00A054B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 xml:space="preserve">JEFFERSON, Ann, </w:t>
      </w:r>
      <w:r>
        <w:rPr>
          <w:rFonts w:ascii="TimesNewRomanPS-ItalicMT" w:hAnsi="TimesNewRomanPS-ItalicMT" w:cs="TimesNewRomanPS-ItalicMT"/>
          <w:i/>
          <w:iCs/>
          <w:color w:val="000000"/>
        </w:rPr>
        <w:t xml:space="preserve">Genius in France : an </w:t>
      </w:r>
      <w:proofErr w:type="spellStart"/>
      <w:r>
        <w:rPr>
          <w:rFonts w:ascii="TimesNewRomanPS-ItalicMT" w:hAnsi="TimesNewRomanPS-ItalicMT" w:cs="TimesNewRomanPS-ItalicMT"/>
          <w:i/>
          <w:iCs/>
          <w:color w:val="000000"/>
        </w:rPr>
        <w:t>idea</w:t>
      </w:r>
      <w:proofErr w:type="spellEnd"/>
      <w:r>
        <w:rPr>
          <w:rFonts w:ascii="TimesNewRomanPS-ItalicMT" w:hAnsi="TimesNewRomanPS-ItalicMT" w:cs="TimesNewRomanPS-ItalicMT"/>
          <w:i/>
          <w:iCs/>
          <w:color w:val="000000"/>
        </w:rPr>
        <w:t xml:space="preserve"> and </w:t>
      </w:r>
      <w:proofErr w:type="spellStart"/>
      <w:r>
        <w:rPr>
          <w:rFonts w:ascii="TimesNewRomanPS-ItalicMT" w:hAnsi="TimesNewRomanPS-ItalicMT" w:cs="TimesNewRomanPS-ItalicMT"/>
          <w:i/>
          <w:iCs/>
          <w:color w:val="000000"/>
        </w:rPr>
        <w:t>its</w:t>
      </w:r>
      <w:proofErr w:type="spellEnd"/>
      <w:r>
        <w:rPr>
          <w:rFonts w:ascii="TimesNewRomanPS-ItalicMT" w:hAnsi="TimesNewRomanPS-ItalicMT" w:cs="TimesNewRomanPS-ItalicMT"/>
          <w:i/>
          <w:iCs/>
          <w:color w:val="000000"/>
        </w:rPr>
        <w:t xml:space="preserve"> uses</w:t>
      </w:r>
      <w:r>
        <w:rPr>
          <w:rFonts w:ascii="TimesNewRomanPSMT" w:hAnsi="TimesNewRomanPSMT" w:cs="TimesNewRomanPSMT"/>
          <w:color w:val="000000"/>
        </w:rPr>
        <w:t xml:space="preserve">, Princeton ; Oxford, éd. Princeton </w:t>
      </w:r>
      <w:proofErr w:type="spellStart"/>
      <w:r>
        <w:rPr>
          <w:rFonts w:ascii="TimesNewRomanPSMT" w:hAnsi="TimesNewRomanPSMT" w:cs="TimesNewRomanPSMT"/>
          <w:color w:val="000000"/>
        </w:rPr>
        <w:t>University</w:t>
      </w:r>
      <w:proofErr w:type="spellEnd"/>
    </w:p>
    <w:p w:rsidR="00A054B8" w:rsidRDefault="00A054B8" w:rsidP="00A054B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proofErr w:type="spellStart"/>
      <w:r>
        <w:rPr>
          <w:rFonts w:ascii="TimesNewRomanPSMT" w:hAnsi="TimesNewRomanPSMT" w:cs="TimesNewRomanPSMT"/>
          <w:color w:val="000000"/>
        </w:rPr>
        <w:t>Press</w:t>
      </w:r>
      <w:proofErr w:type="spellEnd"/>
      <w:r>
        <w:rPr>
          <w:rFonts w:ascii="TimesNewRomanPSMT" w:hAnsi="TimesNewRomanPSMT" w:cs="TimesNewRomanPSMT"/>
          <w:color w:val="000000"/>
        </w:rPr>
        <w:t>, 2015</w:t>
      </w:r>
    </w:p>
    <w:p w:rsidR="00A054B8" w:rsidRDefault="00A054B8" w:rsidP="00A054B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 xml:space="preserve">JEFFERSON, Ann « </w:t>
      </w:r>
      <w:r>
        <w:rPr>
          <w:rFonts w:ascii="TimesNewRomanPS-ItalicMT" w:hAnsi="TimesNewRomanPS-ItalicMT" w:cs="TimesNewRomanPS-ItalicMT"/>
          <w:i/>
          <w:iCs/>
          <w:color w:val="000000"/>
        </w:rPr>
        <w:t xml:space="preserve">Le génie et ses vicissitudes : une histoire française du XVIIIe siècle à nos jours </w:t>
      </w:r>
      <w:r>
        <w:rPr>
          <w:rFonts w:ascii="TimesNewRomanPSMT" w:hAnsi="TimesNewRomanPSMT" w:cs="TimesNewRomanPSMT"/>
          <w:color w:val="000000"/>
        </w:rPr>
        <w:t>», cycle</w:t>
      </w:r>
    </w:p>
    <w:p w:rsidR="00A054B8" w:rsidRDefault="00A054B8" w:rsidP="00A054B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155CD"/>
        </w:rPr>
      </w:pPr>
      <w:proofErr w:type="gramStart"/>
      <w:r>
        <w:rPr>
          <w:rFonts w:ascii="TimesNewRomanPSMT" w:hAnsi="TimesNewRomanPSMT" w:cs="TimesNewRomanPSMT"/>
          <w:color w:val="000000"/>
        </w:rPr>
        <w:t>de</w:t>
      </w:r>
      <w:proofErr w:type="gramEnd"/>
      <w:r>
        <w:rPr>
          <w:rFonts w:ascii="TimesNewRomanPSMT" w:hAnsi="TimesNewRomanPSMT" w:cs="TimesNewRomanPSMT"/>
          <w:color w:val="000000"/>
        </w:rPr>
        <w:t xml:space="preserve"> conférences au Collège de France, sous la </w:t>
      </w:r>
      <w:proofErr w:type="spellStart"/>
      <w:r>
        <w:rPr>
          <w:rFonts w:ascii="TimesNewRomanPSMT" w:hAnsi="TimesNewRomanPSMT" w:cs="TimesNewRomanPSMT"/>
          <w:color w:val="000000"/>
        </w:rPr>
        <w:t>dir</w:t>
      </w:r>
      <w:proofErr w:type="spellEnd"/>
      <w:r>
        <w:rPr>
          <w:rFonts w:ascii="TimesNewRomanPSMT" w:hAnsi="TimesNewRomanPSMT" w:cs="TimesNewRomanPSMT"/>
          <w:color w:val="000000"/>
        </w:rPr>
        <w:t xml:space="preserve">. William Marx, 2022, [en ligne] </w:t>
      </w:r>
      <w:r>
        <w:rPr>
          <w:rFonts w:ascii="TimesNewRomanPSMT" w:hAnsi="TimesNewRomanPSMT" w:cs="TimesNewRomanPSMT"/>
          <w:color w:val="1155CD"/>
        </w:rPr>
        <w:t>Le génie et ses</w:t>
      </w:r>
    </w:p>
    <w:p w:rsidR="00A054B8" w:rsidRDefault="00A054B8" w:rsidP="00A054B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155CD"/>
        </w:rPr>
      </w:pPr>
      <w:proofErr w:type="gramStart"/>
      <w:r>
        <w:rPr>
          <w:rFonts w:ascii="TimesNewRomanPSMT" w:hAnsi="TimesNewRomanPSMT" w:cs="TimesNewRomanPSMT"/>
          <w:color w:val="1155CD"/>
        </w:rPr>
        <w:t>vicissitudes</w:t>
      </w:r>
      <w:proofErr w:type="gramEnd"/>
      <w:r>
        <w:rPr>
          <w:rFonts w:ascii="TimesNewRomanPSMT" w:hAnsi="TimesNewRomanPSMT" w:cs="TimesNewRomanPSMT"/>
          <w:color w:val="1155CD"/>
        </w:rPr>
        <w:t xml:space="preserve"> : une histoire française du XVIIIe siècle à nos jours | Collège de France</w:t>
      </w:r>
    </w:p>
    <w:p w:rsidR="00A054B8" w:rsidRDefault="00A054B8" w:rsidP="00A054B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 xml:space="preserve">SCHEID, John, </w:t>
      </w:r>
      <w:r>
        <w:rPr>
          <w:rFonts w:ascii="TimesNewRomanPS-ItalicMT" w:hAnsi="TimesNewRomanPS-ItalicMT" w:cs="TimesNewRomanPS-ItalicMT"/>
          <w:i/>
          <w:iCs/>
          <w:color w:val="000000"/>
        </w:rPr>
        <w:t xml:space="preserve">La religion des Romains, </w:t>
      </w:r>
      <w:r>
        <w:rPr>
          <w:rFonts w:ascii="TimesNewRomanPSMT" w:hAnsi="TimesNewRomanPSMT" w:cs="TimesNewRomanPSMT"/>
          <w:color w:val="000000"/>
        </w:rPr>
        <w:t>Paris, éd. Armand Colin, 2019 [1998]</w:t>
      </w:r>
    </w:p>
    <w:p w:rsidR="00A054B8" w:rsidRDefault="00A054B8" w:rsidP="00A054B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 xml:space="preserve">TIRZI, Alain, </w:t>
      </w:r>
      <w:r>
        <w:rPr>
          <w:rFonts w:ascii="TimesNewRomanPS-ItalicMT" w:hAnsi="TimesNewRomanPS-ItalicMT" w:cs="TimesNewRomanPS-ItalicMT"/>
          <w:i/>
          <w:iCs/>
          <w:color w:val="000000"/>
        </w:rPr>
        <w:t>Le génie et le criticisme</w:t>
      </w:r>
      <w:r>
        <w:rPr>
          <w:rFonts w:ascii="TimesNewRomanPSMT" w:hAnsi="TimesNewRomanPSMT" w:cs="TimesNewRomanPSMT"/>
          <w:color w:val="000000"/>
        </w:rPr>
        <w:t xml:space="preserve">, Paris, Budapest, Turin, éd. </w:t>
      </w:r>
      <w:proofErr w:type="spellStart"/>
      <w:r>
        <w:rPr>
          <w:rFonts w:ascii="TimesNewRomanPSMT" w:hAnsi="TimesNewRomanPSMT" w:cs="TimesNewRomanPSMT"/>
          <w:color w:val="000000"/>
        </w:rPr>
        <w:t>L’Harmattan</w:t>
      </w:r>
      <w:proofErr w:type="spellEnd"/>
      <w:r>
        <w:rPr>
          <w:rFonts w:ascii="TimesNewRomanPSMT" w:hAnsi="TimesNewRomanPSMT" w:cs="TimesNewRomanPSMT"/>
          <w:color w:val="000000"/>
        </w:rPr>
        <w:t>, 2005</w:t>
      </w:r>
    </w:p>
    <w:p w:rsidR="00A054B8" w:rsidRDefault="00A054B8" w:rsidP="00A054B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 xml:space="preserve">VERNIÈRE, Paul, </w:t>
      </w:r>
      <w:proofErr w:type="spellStart"/>
      <w:r>
        <w:rPr>
          <w:rFonts w:ascii="TimesNewRomanPS-ItalicMT" w:hAnsi="TimesNewRomanPS-ItalicMT" w:cs="TimesNewRomanPS-ItalicMT"/>
          <w:i/>
          <w:iCs/>
          <w:color w:val="000000"/>
        </w:rPr>
        <w:t>OEuvres</w:t>
      </w:r>
      <w:proofErr w:type="spellEnd"/>
      <w:r>
        <w:rPr>
          <w:rFonts w:ascii="TimesNewRomanPS-ItalicMT" w:hAnsi="TimesNewRomanPS-ItalicMT" w:cs="TimesNewRomanPS-ItalicMT"/>
          <w:i/>
          <w:iCs/>
          <w:color w:val="000000"/>
        </w:rPr>
        <w:t xml:space="preserve"> esthétiques - Diderot</w:t>
      </w:r>
      <w:r>
        <w:rPr>
          <w:rFonts w:ascii="TimesNewRomanPSMT" w:hAnsi="TimesNewRomanPSMT" w:cs="TimesNewRomanPSMT"/>
          <w:color w:val="000000"/>
        </w:rPr>
        <w:t>, Paris, éd. Classiques Garnier, 1959</w:t>
      </w:r>
    </w:p>
    <w:p w:rsidR="00A054B8" w:rsidRDefault="00A054B8" w:rsidP="00A054B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 xml:space="preserve">ZILSEL, Edgar, </w:t>
      </w:r>
      <w:r>
        <w:rPr>
          <w:rFonts w:ascii="TimesNewRomanPS-ItalicMT" w:hAnsi="TimesNewRomanPS-ItalicMT" w:cs="TimesNewRomanPS-ItalicMT"/>
          <w:i/>
          <w:iCs/>
          <w:color w:val="000000"/>
        </w:rPr>
        <w:t>Le génie : histoire d’une notion de l’Antiquité à la Renaissance</w:t>
      </w:r>
      <w:r>
        <w:rPr>
          <w:rFonts w:ascii="TimesNewRomanPSMT" w:hAnsi="TimesNewRomanPSMT" w:cs="TimesNewRomanPSMT"/>
          <w:color w:val="000000"/>
        </w:rPr>
        <w:t>, Paris, éd. Les éditions de</w:t>
      </w:r>
    </w:p>
    <w:p w:rsidR="00A054B8" w:rsidRDefault="00A054B8" w:rsidP="00A054B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proofErr w:type="gramStart"/>
      <w:r>
        <w:rPr>
          <w:rFonts w:ascii="TimesNewRomanPSMT" w:hAnsi="TimesNewRomanPSMT" w:cs="TimesNewRomanPSMT"/>
          <w:color w:val="000000"/>
        </w:rPr>
        <w:t>minuit</w:t>
      </w:r>
      <w:proofErr w:type="gramEnd"/>
      <w:r>
        <w:rPr>
          <w:rFonts w:ascii="TimesNewRomanPSMT" w:hAnsi="TimesNewRomanPSMT" w:cs="TimesNewRomanPSMT"/>
          <w:color w:val="000000"/>
        </w:rPr>
        <w:t>, 1993 [1926]</w:t>
      </w:r>
    </w:p>
    <w:p w:rsidR="00A054B8" w:rsidRDefault="00A054B8" w:rsidP="00A054B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￼7/7</w:t>
      </w:r>
    </w:p>
    <w:p w:rsidR="00A054B8" w:rsidRDefault="00A054B8" w:rsidP="00A054B8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</w:rPr>
      </w:pPr>
      <w:r>
        <w:rPr>
          <w:rFonts w:ascii="TimesNewRomanPSMT" w:hAnsi="TimesNewRomanPSMT" w:cs="TimesNewRomanPSMT"/>
          <w:color w:val="000000"/>
        </w:rPr>
        <w:t xml:space="preserve">[PARIS, Galerie nationales du Grand Palais BERLIN, Neue </w:t>
      </w:r>
      <w:proofErr w:type="spellStart"/>
      <w:r>
        <w:rPr>
          <w:rFonts w:ascii="TimesNewRomanPSMT" w:hAnsi="TimesNewRomanPSMT" w:cs="TimesNewRomanPSMT"/>
          <w:color w:val="000000"/>
        </w:rPr>
        <w:t>Nationalgalerie</w:t>
      </w:r>
      <w:proofErr w:type="spellEnd"/>
      <w:r>
        <w:rPr>
          <w:rFonts w:ascii="TimesNewRomanPSMT" w:hAnsi="TimesNewRomanPSMT" w:cs="TimesNewRomanPSMT"/>
          <w:color w:val="000000"/>
        </w:rPr>
        <w:t xml:space="preserve">, 2005-2006] </w:t>
      </w:r>
      <w:r>
        <w:rPr>
          <w:rFonts w:ascii="TimesNewRomanPS-ItalicMT" w:hAnsi="TimesNewRomanPS-ItalicMT" w:cs="TimesNewRomanPS-ItalicMT"/>
          <w:i/>
          <w:iCs/>
          <w:color w:val="000000"/>
        </w:rPr>
        <w:t>Mélancolie : génie</w:t>
      </w:r>
    </w:p>
    <w:p w:rsidR="00A054B8" w:rsidRDefault="00A054B8" w:rsidP="00A054B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</w:rPr>
      </w:pPr>
      <w:proofErr w:type="gramStart"/>
      <w:r>
        <w:rPr>
          <w:rFonts w:ascii="TimesNewRomanPS-ItalicMT" w:hAnsi="TimesNewRomanPS-ItalicMT" w:cs="TimesNewRomanPS-ItalicMT"/>
          <w:i/>
          <w:iCs/>
          <w:color w:val="000000"/>
        </w:rPr>
        <w:t>et</w:t>
      </w:r>
      <w:proofErr w:type="gramEnd"/>
      <w:r>
        <w:rPr>
          <w:rFonts w:ascii="TimesNewRomanPS-ItalicMT" w:hAnsi="TimesNewRomanPS-ItalicMT" w:cs="TimesNewRomanPS-ItalicMT"/>
          <w:i/>
          <w:iCs/>
          <w:color w:val="000000"/>
        </w:rPr>
        <w:t xml:space="preserve"> folie en Occident, </w:t>
      </w:r>
      <w:r>
        <w:rPr>
          <w:rFonts w:ascii="TimesNewRomanPSMT" w:hAnsi="TimesNewRomanPSMT" w:cs="TimesNewRomanPSMT"/>
          <w:color w:val="000000"/>
        </w:rPr>
        <w:t>10 octobre 2005-16 janvier 2006 (Paris), 17 février-7 mai 200 (Berlin), Clair, Jean</w:t>
      </w:r>
    </w:p>
    <w:p w:rsidR="00F161B3" w:rsidRDefault="00A054B8" w:rsidP="00A054B8">
      <w:r>
        <w:rPr>
          <w:rFonts w:ascii="TimesNewRomanPSMT" w:hAnsi="TimesNewRomanPSMT" w:cs="TimesNewRomanPSMT"/>
          <w:color w:val="000000"/>
        </w:rPr>
        <w:t>(</w:t>
      </w:r>
      <w:proofErr w:type="spellStart"/>
      <w:proofErr w:type="gramStart"/>
      <w:r>
        <w:rPr>
          <w:rFonts w:ascii="TimesNewRomanPSMT" w:hAnsi="TimesNewRomanPSMT" w:cs="TimesNewRomanPSMT"/>
          <w:color w:val="000000"/>
        </w:rPr>
        <w:t>dir</w:t>
      </w:r>
      <w:proofErr w:type="spellEnd"/>
      <w:r>
        <w:rPr>
          <w:rFonts w:ascii="TimesNewRomanPSMT" w:hAnsi="TimesNewRomanPSMT" w:cs="TimesNewRomanPSMT"/>
          <w:color w:val="000000"/>
        </w:rPr>
        <w:t>.</w:t>
      </w:r>
      <w:proofErr w:type="gramEnd"/>
      <w:r>
        <w:rPr>
          <w:rFonts w:ascii="TimesNewRomanPSMT" w:hAnsi="TimesNewRomanPSMT" w:cs="TimesNewRomanPSMT"/>
          <w:color w:val="000000"/>
        </w:rPr>
        <w:t>), Paris, éd. Réunion des musées nationaux ; éd. Gallimard, 2008</w:t>
      </w:r>
    </w:p>
    <w:sectPr w:rsidR="00F161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4B8"/>
    <w:rsid w:val="00A054B8"/>
    <w:rsid w:val="00F1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DB6B8"/>
  <w15:chartTrackingRefBased/>
  <w15:docId w15:val="{9F790F1F-E929-4DEC-B8FC-DC7B0ED2D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1316</Characters>
  <Application>Microsoft Office Word</Application>
  <DocSecurity>0</DocSecurity>
  <Lines>77</Lines>
  <Paragraphs>59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sorbonne universite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Aslanoff Gregoire</dc:creator>
  <cp:keywords/>
  <dc:description/>
  <cp:lastModifiedBy>Aslanoff Gregoire</cp:lastModifiedBy>
  <cp:revision>1</cp:revision>
  <dcterms:created xsi:type="dcterms:W3CDTF">2026-02-20T14:36:00Z</dcterms:created>
  <dcterms:modified xsi:type="dcterms:W3CDTF">2026-02-20T14:37:00Z</dcterms:modified>
</cp:coreProperties>
</file>